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fase 2 de Splash</w:t>
      </w:r>
    </w:p>
    <w:p>
      <w:r>
        <w:t>Duoc UC Antonio Varas · Ingeniería en Informática · Capstone PTY4614 · 801-V</w:t>
      </w:r>
    </w:p>
    <w:p>
      <w:r>
        <w:t>SPL-F2-001 · Versión 0.7 · 21 de octubre de 2026</w:t>
        <w:br/>
        <w:t>Responsable: Equipo Splash</w:t>
        <w:br/>
        <w:t>Revisión: Kevin Iturra y profesor guía según evaluación</w:t>
        <w:br/>
        <w:t>Estado: Documento de fase 2 en desarrollo; no cierre del producto</w:t>
      </w:r>
    </w:p>
    <w:p>
      <w:r>
        <w:t>Este informe consolida propósito, desarrollo reportado, decisiones y evidencias disponibles de fase 2. Su título académico no significa aplicación terminada ni aceptación del docente.</w:t>
      </w:r>
    </w:p>
    <w:p>
      <w:pPr>
        <w:pStyle w:val="Heading1"/>
      </w:pPr>
      <w:r>
        <w:t>1 Contexto y alcance</w:t>
      </w:r>
    </w:p>
    <w:p>
      <w:r>
        <w:t>Splash conecta clientes y limpiadores independientes para coordinar lavado de vehículos a domicilio. El ámbito inicial previsto es la Región Metropolitana; cobertura y condiciones del piloto siguen por confirmar. El equipo no suministra equipos ni habilita puntos físicos.</w:t>
      </w:r>
    </w:p>
    <w:p>
      <w:r>
        <w:t>Splash se limita a cliente, limpiador y administrador, con sus interfaces, API y datos de soporte. Las solicitudes inmediatas y programadas no dependen de un pago aprobado por un proveedor. No se integran Mercado Pago, Webpay, Transbank ni otra pasarela, en producción ni en pruebas. La aplicación no mueve fondos: el registro y la validación del pago y de la liquidación serán manuales, con referencia o comprobante, permisos y auditoría. La referencia de negocio es comisión Splash de 15 % y liquidación semanal al limpiador; no son funciones financieras implementadas.</w:t>
      </w:r>
    </w:p>
    <w:p>
      <w:r>
        <w:t>CAM-04 · 21 de octubre de 2026: se consolida la exclusión de pasarelas externas del acta v1.1, por instrucción del solicitante. Sustituye CAM-03 en todos los criterios vigentes del presente conjunto. Se adopta como alcance objetivo el registro manual de pagos y liquidaciones, todavía no implementado según la auditoría. La revisión y conformidad del equipo y del docente se registrarán cuando ocurran; no se acredita una reunión de aprobación.</w:t>
      </w:r>
    </w:p>
    <w:p>
      <w:pPr>
        <w:pStyle w:val="Heading1"/>
        <w:pageBreakBefore/>
      </w:pPr>
      <w:r>
        <w:t>2 Objetivos y metodología</w:t>
      </w:r>
    </w:p>
    <w:p>
      <w:r>
        <w:t>Objetivo general: desarrollar e integrar el ciclo de solicitud y prestación de lavado entre cliente, limpiador y administrador, con evidencias, confirmación y registro manual de información de pago, dentro del entorno académico y sin pasarela externa.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rPr>
          <w:cantSplit/>
          <w:tblHeader/>
        </w:trPr>
        <w:tc>
          <w:tcPr>
            <w:tcW w:type="dxa" w:w="216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Objetivo específico</w:t>
            </w:r>
          </w:p>
        </w:tc>
        <w:tc>
          <w:tcPr>
            <w:tcW w:type="dxa" w:w="74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Resultado a demostrar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Acceso y perfiles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Registro, habilitación y permisos diferenciados; datos propios protegidos.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Servicio conectado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Solicitud inmediata y agendada, aceptación única, estados, seguimiento y evidencia.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Cierre e incidencias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Confirmación, reporte y resolución de incidentes/disputas con registros y avisos verificables.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Registro económico manual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Evidencia, validación autorizada, cálculo referencial y liquidación registrada; implementación y reglas pendientes.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Calidad y documentación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Pruebas reales e instalación reproducible; criterios, evidencia y archivos coherentes.</w:t>
            </w:r>
          </w:p>
        </w:tc>
      </w:tr>
    </w:tbl>
    <w:p>
      <w:pPr>
        <w:spacing w:after="20" w:line="60" w:lineRule="exact"/>
      </w:pPr>
    </w:p>
    <w:p>
      <w:r>
        <w:t>Plan propuesto de 16 semanas relativas en ocho sprints de dos semanas. La fecha real de inicio del sprint 1, capacidad, selección de tareas y cierres no están acreditados. No se calcula un sprint actual por calendario ni un porcentaje global mezclando código, documentos y pruebas. Los registros de ciclos y retrospectivas permanecen pendientes de evidencia real.</w:t>
      </w:r>
    </w:p>
    <w:p>
      <w:r>
        <w:t>Scrumban es la organización propuesta con backlog y tablero. No se acreditan retrospectivas ni cierres de ciclos por existir plantillas. El alcance y la selección se refinan sin presentar como desarrollo vigente los requisitos antiguos de pasarela.</w:t>
      </w:r>
    </w:p>
    <w:p>
      <w:pPr>
        <w:pStyle w:val="Heading1"/>
        <w:pageBreakBefore/>
      </w:pPr>
      <w:r>
        <w:t>3 Desarrollo observado y límites de evidencia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rPr>
          <w:cantSplit/>
          <w:tblHeader/>
        </w:trPr>
        <w:tc>
          <w:tcPr>
            <w:tcW w:type="dxa" w:w="216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Componente</w:t>
            </w:r>
          </w:p>
        </w:tc>
        <w:tc>
          <w:tcPr>
            <w:tcW w:type="dxa" w:w="74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Reporte de la auditoría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Cliente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React Native y Expo SDK 55, TypeScript; interfaz de cliente.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Limpiador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React Native y Expo SDK 55, TypeScript; interfaz de trabajador.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Backend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Node.js, Express 5, TypeScript, Prisma 7, SQLite y Socket.io.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Panel nuevo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React 18, Vite, Tailwind, TanStack Query, Zustand, Recharts y Leaflet.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Panel legacy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HTML y JavaScript servido por backend; convive con el nuevo panel.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Entorno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Desarrollo local. No se acredita Docker, Compose, README raíz ni despliegue productivo.</w:t>
            </w:r>
          </w:p>
        </w:tc>
      </w:tr>
    </w:tbl>
    <w:p>
      <w:pPr>
        <w:spacing w:after="20" w:line="60" w:lineRule="exact"/>
      </w:pPr>
    </w:p>
    <w:p>
      <w:r>
        <w:t>El ciclo de lavado, panel y controles de acceso tienen código real. La auditoría dirigida no reejecutó una por una las HU ni la suite; por ello no se certifica el cumplimiento completo del MVP. La presencia de módulos no acredita casos CP ejecutados.</w:t>
      </w:r>
    </w:p>
    <w:p>
      <w:r>
        <w:t>El backlog v0.2 reporta al 5 de octubre de 2026: 17 HECHO, 39 PARCIAL, 25 PENDIENTE y 2 POR VERIFICAR, de 83 HU. Es una fotografía histórica sobre criterios anteriores: 17/83 = 20,5 % reportadas hechas y (17+39)/83 = 67,5 % con algún avance. Ninguno de estos cocientes es avance global actual ni aceptación de los criterios CAM-04.</w:t>
      </w:r>
    </w:p>
    <w:p>
      <w:pPr>
        <w:pStyle w:val="Heading1"/>
        <w:pageBreakBefore/>
      </w:pPr>
      <w:r>
        <w:t>4 Dificultades y pendientes de cierre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3384"/>
        <w:gridCol w:w="3600"/>
      </w:tblGrid>
      <w:tr>
        <w:trPr>
          <w:cantSplit/>
          <w:tblHeader/>
        </w:trPr>
        <w:tc>
          <w:tcPr>
            <w:tcW w:type="dxa" w:w="2592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Hallazgo</w:t>
            </w:r>
          </w:p>
        </w:tc>
        <w:tc>
          <w:tcPr>
            <w:tcW w:type="dxa" w:w="338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Evidencia reportada</w:t>
            </w:r>
          </w:p>
        </w:tc>
        <w:tc>
          <w:tcPr>
            <w:tcW w:type="dxa" w:w="360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Tratamiento documental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AUD-02 Datos financieros objetivo no implementados</w:t>
            </w:r>
          </w:p>
        </w:tc>
        <w:tc>
          <w:tcPr>
            <w:tcW w:type="dxa" w:w="338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No hay Pago, Liquidacion, ItemLiquidacion ni DatosBancarios; montos Float; billetera permanece.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Diseño propuesto; coordinar con autores de 01/02, excluidos de esta edición.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AUD-03 Entrega reproducible incompleta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No hay README.md, Dockerfile ni Compose en raíz según inspección.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Pendiente técnico; modelo documental no sustituye archivos ejecutables.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AUD-04 Reporte de incidencia devuelve 404</w:t>
            </w:r>
          </w:p>
        </w:tc>
        <w:tc>
          <w:tcPr>
            <w:tcW w:type="dxa" w:w="338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incidencia.tsx:78 llama POST /lavados/:id/incidencia; ruta ausente.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Registrar defecto y tarea de corrección; ejecutar regresión después.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AUD-05 Retiro de billetera incompleto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WALLET_ENABLED=false; tablas y endpoints conservados.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HU-06.10 en avance parcial reportado: apagada, no retirada.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AUD-06 Ciclos y retrospectivas sin registro</w:t>
            </w:r>
          </w:p>
        </w:tc>
        <w:tc>
          <w:tcPr>
            <w:tcW w:type="dxa" w:w="3384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No se acreditan sesiones ni cierres.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Plantillas de captura; no simular hechos, asistentes o acuerdos.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AUD-08 Tiempo real asimétrico en limpiador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No escucha lavado:estado; emite evento sin listener en backend.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Defecto pendiente; separar diagrama objetivo de implementación.</w:t>
            </w:r>
          </w:p>
        </w:tc>
      </w:tr>
    </w:tbl>
    <w:p>
      <w:pPr>
        <w:spacing w:after="20" w:line="60" w:lineRule="exact"/>
      </w:pPr>
    </w:p>
    <w:p>
      <w:r>
        <w:t>Falta ratificar medio y momento del cobro del cliente, cuenta receptora, responsable de validar recepción, corte semanal, redondeo y tratamiento manual de cargos de cancelación, reembolsos y disputas. No se fijan lunes y jueves ni se reutilizan automáticamente los cargos 0/15/25/40 % del modelo anterior. Estas decisiones deben cerrarse antes de aceptar los criterios económicos dependientes; no se declaran resueltas mediante esta edición.</w:t>
      </w:r>
    </w:p>
    <w:p>
      <w:r>
        <w:t>No se alteraron 01 ni 02 por instrucción del solicitante. Sus autores deben recibir CAM-04 y distinguir modelo existente de diseño objetivo. Tampoco se completaron diarios o autoevaluaciones individuales: requieren aporte real de cada integrante.</w:t>
      </w:r>
    </w:p>
    <w:p>
      <w:pPr>
        <w:pStyle w:val="Heading1"/>
        <w:pageBreakBefore/>
      </w:pPr>
      <w:r>
        <w:t>5 Evidencias resultados y conclusiones de fase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rPr>
          <w:cantSplit/>
          <w:tblHeader/>
        </w:trPr>
        <w:tc>
          <w:tcPr>
            <w:tcW w:type="dxa" w:w="216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Evidencia</w:t>
            </w:r>
          </w:p>
        </w:tc>
        <w:tc>
          <w:tcPr>
            <w:tcW w:type="dxa" w:w="74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Qué respalda y qué no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Backlog y matriz v0.7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83 IDs y criterios vigentes trazables; no prueba de implementación.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Auditoría y capturas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Hallazgos reportados con rutas y commits; no ejecución nueva de los tests.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UML actualizado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Diferencia flujos reportados y objetivos propuestos; no reemplaza revisar código.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Pruebas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Plan y fichas preparados; resultados reales pendientes.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Instalación y piloto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Archivos reproducibles y observaciones de usuarios por aportar.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Conformidad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Revisión del equipo y evaluación docente por registrar.</w:t>
            </w:r>
          </w:p>
        </w:tc>
      </w:tr>
    </w:tbl>
    <w:p>
      <w:pPr>
        <w:spacing w:after="20" w:line="60" w:lineRule="exact"/>
      </w:pPr>
    </w:p>
    <w:p>
      <w:r>
        <w:t>Conclusión de fase: existe una base técnica local y un catálogo documental organizado. Se concilia la decisión de pagos, pero faltan corregir defectos, implementar registros manuales, reproducir instalación y aportar evidencia de aceptación. No se afirma entrega completa ni validación de mercado. El valor innovador es una hipótesis documentada en 07.</w:t>
      </w:r>
    </w:p>
    <w:p>
      <w:pPr>
        <w:pStyle w:val="Heading2"/>
      </w:pPr>
      <w:r>
        <w:t>Referencias y límites</w:t>
      </w:r>
    </w:p>
    <w:p>
      <w:r>
        <w:rPr>
          <w:sz w:val="17"/>
        </w:rPr>
        <w:t>Fuente técnica principal: Auditoria_Splash_doc-vs-app.pdf, 20 de octubre de 2026, repositorio académico commit 139ddb7 y aplicación commit 932a4b0 más cambios locales. Las capturas aportan observaciones de la revisión del 19 de octubre. Esta actualización contrasta documentos con esa evidencia aportada; no reejecuta el código ni las pruebas y no convierte una inspección en aceptación funcional.</w:t>
      </w:r>
    </w:p>
    <w:p>
      <w:r>
        <w:rPr>
          <w:sz w:val="17"/>
        </w:rPr>
        <w:t>Equipo Splash. Acta v1.2 y CAM-04, 21 de octubre de 2026. Consolidación del alcance sin pasarela, autorizada por el solicitante; aprobación colegiada no registrada.</w:t>
      </w:r>
    </w:p>
    <w:p>
      <w:r>
        <w:rPr>
          <w:sz w:val="17"/>
        </w:rPr>
        <w:t>Daniel Elgueta. Backlog v0.2, 5 de octubre de 2026. Fuente histórica de los 83 IDs; los criterios modificados se identifican en 11 v0.7.</w:t>
      </w:r>
    </w:p>
    <w:p>
      <w:r>
        <w:rPr>
          <w:sz w:val="17"/>
        </w:rPr>
        <w:t>Duoc UC. Guías 2.4 y 2.6 y anexo de artefactos proporcionados al equipo. No se acredita una pauta oficial de puntajes F2 en la auditoría.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pgSz w:w="12240" w:h="15840"/>
      <w:pgMar w:top="1152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SPL-F2-001 · v0.7  |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SPL-F2-001 · v0.7  | 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SPL-F2-001 · v0.7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731520" cy="1828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" cy="182880"/>
                  </a:xfrm>
                  <a:prstGeom prst="rect"/>
                </pic:spPr>
              </pic:pic>
            </a:graphicData>
          </a:graphic>
        </wp:inline>
      </w:drawing>
    </w:r>
    <w:r>
      <w:rPr>
        <w:sz w:val="18"/>
      </w:rPr>
      <w:t xml:space="preserve">     Splash  |  Documentación de fase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fase 2 de Splash</dc:title>
  <dc:subject/>
  <dc:creator>Equipo Splash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0.7</cp:version>
</cp:coreProperties>
</file>