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Visión del producto Splash</w:t>
      </w:r>
    </w:p>
    <w:p>
      <w:r>
        <w:t>Duoc UC Antonio Varas · Ingeniería en Informática · Capstone PTY4614 · 801-V</w:t>
      </w:r>
    </w:p>
    <w:p>
      <w:r>
        <w:t>SPL-VIS-001 · Versión 0.7 · 21 de octubre de 2026</w:t>
        <w:br/>
        <w:t>Responsable: Kevin Iturra y equipo</w:t>
        <w:br/>
        <w:t>Revisión: Diego Cortés y Paul Carrillo</w:t>
        <w:br/>
        <w:t>Estado: Actualización documental por auditoría; verificación funcional pendiente</w:t>
      </w:r>
    </w:p>
    <w:p>
      <w:r>
        <w:t>La visión define el producto que se quiere completar y separa esa intención del estado de código reportado. La referencia única de pagos es CAM-04.</w:t>
      </w:r>
    </w:p>
    <w:p>
      <w:pPr>
        <w:pStyle w:val="Heading1"/>
      </w:pPr>
      <w:r>
        <w:t>1 Necesidad usuarios y propuesta</w:t>
      </w:r>
    </w:p>
    <w:p>
      <w:r>
        <w:t>Para personas que requieren lavado de vehículos a domicilio y prestadores que aportan sus propios implementos, Splash propone un proceso compartido de solicitud, aceptación, atención y confirmación, supervisado por administración. Su valor esperado es dar visibilidad al servicio y reunir evidencias en un mismo flujo. La validación de esa necesidad y de su valor permanece pendiente de usuarios.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Perfil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Objetivo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Solicitar, seguir estados, consultar evidencias y confirmar; aportar registro manual de pago cuando se implemente.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Limpiador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Habilitarse, recibir y aceptar solicitudes, actualizar etapas y registrar evidencia.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Habilitar y supervisar, atender incidencias y registrar revisiones o liquidaciones manuales autorizadas.</w:t>
            </w:r>
          </w:p>
        </w:tc>
      </w:tr>
    </w:tbl>
    <w:p>
      <w:pPr>
        <w:spacing w:after="20" w:line="60" w:lineRule="exact"/>
      </w:pP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p>
      <w:pPr>
        <w:pStyle w:val="Heading1"/>
        <w:pageBreakBefore/>
      </w:pPr>
      <w:r>
        <w:t>2 Límites del MVP y recorrido principal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Recorrido objetivo y situación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 Acceso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 y limpiador se registran; administración habilita según requisitos.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 Solicitud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 elige vehículo, dirección y modalidad inmediata/programada; se crea solicitud sin checkout.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 Aceptación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 limpiador disponible y aprobado acepta una sola vez; el resto deja de verla.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 Atención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Estados, seguimiento y fotos; defecto de tiempo real del limpiador y regresión LLEGÓ pendientes.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 Cierre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 confirma o reporta problema; endpoint de incidencia y creación de disputa por completar.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6 Registro económico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Evidencia y validación de recepción externa, comisión y liquidación manual; aún no implementados.</w:t>
            </w:r>
          </w:p>
        </w:tc>
      </w:tr>
    </w:tbl>
    <w:p>
      <w:pPr>
        <w:spacing w:after="20" w:line="60" w:lineRule="exact"/>
      </w:pPr>
    </w:p>
    <w:p>
      <w:r>
        <w:t>Se excluyen pasarelas y transferencias automáticas, billetera, iOS como entrega obligatoria, suscripciones, productos, verificación formal de antecedentes, despliegue productivo y nuevas categorías. La confirmación a las 48 horas sigue opcional; no implica dinero transferido.</w:t>
      </w: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pPr>
        <w:pStyle w:val="Heading1"/>
        <w:pageBreakBefore/>
      </w:pPr>
      <w:r>
        <w:t>3 Criterios de éxito y evidencia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Criterio de éxito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Forma de comprobarlo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Flujo completo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Caso inmediato y programado con tres perfiles sobre la misma versión y datos.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Coherencia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Criterios CAM-04 en acta, HU, diagramas, pruebas, reportes y textos del producto.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Calidad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Resultados CP, defectos corregidos, permisos, concurrencia e instalación reproducible.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Valor esperado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Observaciones reales de usuarios, con alcance y límites del piloto declarados.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Preparación académica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Guías y anexo cubiertos, aportes individuales y revisión docente según requisitos.</w:t>
            </w:r>
          </w:p>
        </w:tc>
      </w:tr>
    </w:tbl>
    <w:p>
      <w:pPr>
        <w:spacing w:after="20" w:line="60" w:lineRule="exact"/>
      </w:pPr>
    </w:p>
    <w:p>
      <w:r>
        <w:t>No se define éxito por tener pantallas o por un porcentaje de avance estimado. Es necesario comprobar cada criterio y registrar evidencia de la versión entregada.</w:t>
      </w:r>
    </w:p>
    <w:p>
      <w:r>
        <w:t>Plan propuesto de 16 semanas relativas en ocho sprints de dos semanas. La fecha real de inicio del sprint 1, capacidad, selección de tareas y cierres no están acreditados. No se calcula un sprint actual por calendario ni un porcentaje global mezclando código, documentos y pruebas. Los registros de ciclos y retrospectivas permanecen pendientes de evidencia real.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SPL-VIS-001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SPL-VIS-001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SPL-VIS-001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