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Definición de terminado de Splash</w:t>
      </w:r>
    </w:p>
    <w:p>
      <w:r>
        <w:t>Duoc UC Antonio Varas · Ingeniería en Informática · Capstone PTY4614 · 801-V</w:t>
      </w:r>
    </w:p>
    <w:p>
      <w:r>
        <w:t>SPL-DOD-001 · Versión 0.7 · 21 de octubre de 2026</w:t>
        <w:br/>
        <w:t>Responsable: Equipo Splash</w:t>
        <w:br/>
        <w:t>Revisión: Kevin Iturra y Daniel Elgueta</w:t>
        <w:br/>
        <w:t>Estado: Actualización documental por auditoría; verificación funcional pendiente</w:t>
      </w:r>
    </w:p>
    <w:p>
      <w:r>
        <w:t>Esta definición separa trabajo preparado, implementado y aceptado. No certifica resultados anteriores ni sustituye la evaluación académica.</w:t>
      </w:r>
    </w:p>
    <w:p>
      <w:pPr>
        <w:pStyle w:val="Heading1"/>
      </w:pPr>
      <w:r>
        <w:t>1 Cierre de una historia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Control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Condición verificable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Criterio vigente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 y versión CAM-04 o v0.2 conservado identificados; conflictos de regla resueltos.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Implementación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Código y datos necesarios existentes; una pantalla o un flag no equivalen al flujo terminado.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Integración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Tres perfiles y componentes afectados funcionan juntos; dependencias y errores tratados.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Pruebas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Casos ejecutados en entorno aislado; esperado, observado, versión y evidencia registrados.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Revisión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Otro integrante revisa; defectos que bloquean el criterio cerrados o cambio de alcance aceptado.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Documentación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Backlog, matriz, UML, instalación y textos afectados actualizados con el mismo comportamiento.</w:t>
            </w:r>
          </w:p>
        </w:tc>
      </w:tr>
    </w:tbl>
    <w:p>
      <w:pPr>
        <w:spacing w:after="20" w:line="60" w:lineRule="exact"/>
      </w:pPr>
    </w:p>
    <w:p>
      <w:r>
        <w:t>Una HU PARCIAL, una corrección local sin regresión o un caso No ejecutado permanece abierto. No cerrar por cumplir la semana asignada.</w:t>
      </w:r>
    </w:p>
    <w:p>
      <w:r>
        <w:t>CAM-04 · 21 de octubre de 2026: se consolida la exclusión de pasarelas externas del acta v1.1, por instrucción del solicitante. Sustituye CAM-03 en todos los criterios vigentes del presente conjunto. Se adopta como alcance objetivo el registro manual de pagos y liquidaciones, todavía no implementado según la auditoría. La revisión y conformidad del equipo y del docente se registrarán cuando ocurran; no se acredita una reunión de aprobación.</w:t>
      </w:r>
    </w:p>
    <w:p>
      <w:pPr>
        <w:pStyle w:val="Heading1"/>
        <w:pageBreakBefore/>
      </w:pPr>
      <w:r>
        <w:t>2 Controles específicos de la revisión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Situación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Condición para declarar terminado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Billetera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Retiro de interfaces, rutas y dependencias acordadas; respaldo y decisión sobre datos. WALLET_ENABLED=false solo acredita apagado.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Incidencias y tiempo real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Endpoint conectado, creación persistente y recepción de eventos verificados; un listado administrativo no demuestra creación de disputa.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Registro manual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Procedimiento y reglas ratificados, persistencia y permisos implementados y cálculos/referencias probados; no se requiere pasarela.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Instalación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README y Docker/Compose aplicable existentes y reproducidos; el modelo del documento 05 no basta.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Q-13 y seguridad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Valores y versión confirmados, pruebas HTTP y Socket.io separadas; no marcar Cumple solo por middleware.</w:t>
            </w:r>
          </w:p>
        </w:tc>
      </w:tr>
    </w:tbl>
    <w:p>
      <w:pPr>
        <w:spacing w:after="20" w:line="60" w:lineRule="exact"/>
      </w:pPr>
    </w:p>
    <w:p>
      <w:r>
        <w:t>Falta ratificar medio y momento del cobro del cliente, cuenta receptora, responsable de validar recepción, corte semanal, redondeo y tratamiento manual de cargos de cancelación, reembolsos y disputas. No se fijan lunes y jueves ni se reutilizan automáticamente los cargos 0/15/25/40 % del modelo anterior. Estas decisiones deben cerrarse antes de aceptar los criterios económicos dependientes; no se declaran resueltas mediante esta edición.</w:t>
      </w:r>
    </w:p>
    <w:p>
      <w:pPr>
        <w:pStyle w:val="Heading1"/>
        <w:pageBreakBefore/>
      </w:pPr>
      <w:r>
        <w:t>3 Cierre de documento ciclo y entrega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Unidad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Evidencia de cierre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Documento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Versión y autor, coherencia con alcance y código o etiqueta de propuesta, revisión y pendientes explícitos.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Sprint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Inicio y objetivo reales, capacidad, tareas seleccionadas, resultado de cada una y pendientes replanificados.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Retrospectiva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Sesión real con asistentes, hechos, acuerdos y responsables; no rellenar por suposición.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Entrega F2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Guías y anexo contrastados, instalación y casos del flujo principal, defectos y límites conocidos, evidencias accesibles.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Aceptación académica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Solo se registra cuando el docente o comisión efectivamente la realiza.</w:t>
            </w:r>
          </w:p>
        </w:tc>
      </w:tr>
    </w:tbl>
    <w:p>
      <w:pPr>
        <w:spacing w:after="20" w:line="60" w:lineRule="exact"/>
      </w:pPr>
    </w:p>
    <w:p>
      <w:r>
        <w:t>La adaptación de Scrumban no demuestra por sí misma que los ciclos hayan ocurrido. El avance es la suma de trabajo aceptado contra criterios identificables, no la cantidad de documentos redactados.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SPL-DOD-001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SPL-DOD-001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SPL-DOD-001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de terminado de Splash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