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drawing>
          <wp:inline xmlns:a="http://schemas.openxmlformats.org/drawingml/2006/main" xmlns:pic="http://schemas.openxmlformats.org/drawingml/2006/picture">
            <wp:extent cx="4937760" cy="1105369"/>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4937760" cy="1105369"/>
                    </a:xfrm>
                    <a:prstGeom prst="rect"/>
                  </pic:spPr>
                </pic:pic>
              </a:graphicData>
            </a:graphic>
          </wp:inline>
        </w:drawing>
      </w:r>
    </w:p>
    <w:p>
      <w:pPr>
        <w:pStyle w:val="Title"/>
        <w:spacing w:before="800"/>
        <w:jc w:val="center"/>
      </w:pPr>
      <w:r>
        <w:t>ACTA DE CONSTITUCIÓN</w:t>
        <w:br/>
        <w:t>DEL PROYECTO SPLASH</w:t>
      </w:r>
    </w:p>
    <w:p>
      <w:pPr>
        <w:spacing w:before="240"/>
        <w:jc w:val="center"/>
      </w:pPr>
      <w:r>
        <w:t>Plataforma de intermediación para servicios</w:t>
        <w:br/>
        <w:t>de lavado de vehículos a domicilio</w:t>
      </w:r>
    </w:p>
    <w:p>
      <w:pPr>
        <w:jc w:val="center"/>
      </w:pPr>
      <w:r>
        <w:t>Ingeniería en Informática</w:t>
      </w:r>
    </w:p>
    <w:p>
      <w:pPr>
        <w:spacing w:before="1900"/>
      </w:pPr>
    </w:p>
    <w:p>
      <w:pPr>
        <w:spacing w:after="100"/>
        <w:ind w:left="3240"/>
      </w:pPr>
      <w:r>
        <w:t>Asignatura: Capstone PTY4614</w:t>
      </w:r>
    </w:p>
    <w:p>
      <w:pPr>
        <w:spacing w:after="100"/>
        <w:ind w:left="3240"/>
      </w:pPr>
      <w:r>
        <w:t>Profesor guía: Aldo Martínez Órdenes</w:t>
      </w:r>
    </w:p>
    <w:p>
      <w:pPr>
        <w:spacing w:after="100"/>
        <w:ind w:left="3240"/>
      </w:pPr>
      <w:r>
        <w:t>Sede: Antonio Varas · Sección: 801-V</w:t>
      </w:r>
    </w:p>
    <w:p>
      <w:pPr>
        <w:spacing w:after="100"/>
        <w:ind w:left="3240"/>
      </w:pPr>
      <w:r>
        <w:t>Integrantes: Paul Carrillo · Diego Cortés</w:t>
      </w:r>
    </w:p>
    <w:p>
      <w:pPr>
        <w:spacing w:after="100"/>
        <w:ind w:left="3240"/>
      </w:pPr>
      <w:r>
        <w:t>Kevin Iturra · Daniel Elgueta</w:t>
      </w:r>
    </w:p>
    <w:p>
      <w:pPr>
        <w:spacing w:after="100"/>
        <w:ind w:left="3240"/>
      </w:pPr>
      <w:r>
        <w:t>Versión 1.2 · Actualización: 21 de octubre de 2026</w:t>
      </w:r>
    </w:p>
    <w:p>
      <w:pPr>
        <w:pStyle w:val="Heading1"/>
        <w:pageBreakBefore/>
      </w:pPr>
      <w:r>
        <w:t>Contenido</w:t>
      </w:r>
    </w:p>
    <w:p>
      <w:r>
        <w:t>1. Control y propósito del acta</w:t>
      </w:r>
    </w:p>
    <w:p>
      <w:r>
        <w:t>2. Fundamentación y objetivos</w:t>
      </w:r>
    </w:p>
    <w:p>
      <w:r>
        <w:t>3. Alcance y límites del proyecto</w:t>
      </w:r>
    </w:p>
    <w:p>
      <w:r>
        <w:t>4. Organización y toma de decisiones</w:t>
      </w:r>
    </w:p>
    <w:p>
      <w:r>
        <w:t>5. Entregables y criterios de aceptación</w:t>
      </w:r>
    </w:p>
    <w:p>
      <w:r>
        <w:t>6. Metodología y planificación por semanas</w:t>
      </w:r>
    </w:p>
    <w:p>
      <w:r>
        <w:t>7. Recursos, riesgos y decisiones pendientes</w:t>
      </w:r>
    </w:p>
    <w:p>
      <w:r>
        <w:t>8. Aprobación y referencias</w:t>
      </w:r>
    </w:p>
    <w:p>
      <w:pPr>
        <w:pStyle w:val="Heading1"/>
      </w:pPr>
      <w:r>
        <w:t>1. Control y propósito del acta</w:t>
      </w:r>
    </w:p>
    <w:tbl>
      <w:tblPr>
        <w:tblW w:type="auto" w:w="0"/>
        <w:tblLayout w:type="fixed"/>
        <w:tblLook w:firstColumn="1" w:firstRow="1" w:lastColumn="0" w:lastRow="0" w:noHBand="0" w:noVBand="1" w:val="04A0"/>
      </w:tblPr>
      <w:tblGrid>
        <w:gridCol w:w="2448"/>
        <w:gridCol w:w="7056"/>
      </w:tblGrid>
      <w:tr>
        <w:trPr>
          <w:cantSplit/>
          <w:tblHeader/>
        </w:trPr>
        <w:tc>
          <w:tcPr>
            <w:tcW w:type="dxa" w:w="2448"/>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Campo</w:t>
            </w:r>
          </w:p>
        </w:tc>
        <w:tc>
          <w:tcPr>
            <w:tcW w:type="dxa" w:w="7056"/>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Definición</w:t>
            </w:r>
          </w:p>
        </w:tc>
      </w:tr>
      <w:tr>
        <w:trPr>
          <w:cantSplit/>
        </w:trPr>
        <w:tc>
          <w:tcPr>
            <w:tcW w:type="dxa" w:w="244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Código</w:t>
            </w:r>
          </w:p>
        </w:tc>
        <w:tc>
          <w:tcPr>
            <w:tcW w:type="dxa" w:w="705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SPL-ACT-001</w:t>
            </w:r>
          </w:p>
        </w:tc>
      </w:tr>
      <w:tr>
        <w:trPr>
          <w:cantSplit/>
        </w:trPr>
        <w:tc>
          <w:tcPr>
            <w:tcW w:type="dxa" w:w="244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Versión y fecha</w:t>
            </w:r>
          </w:p>
        </w:tc>
        <w:tc>
          <w:tcPr>
            <w:tcW w:type="dxa" w:w="705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1.2 · 21 de octubre de 2026</w:t>
            </w:r>
          </w:p>
        </w:tc>
      </w:tr>
      <w:tr>
        <w:trPr>
          <w:cantSplit/>
        </w:trPr>
        <w:tc>
          <w:tcPr>
            <w:tcW w:type="dxa" w:w="244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Estado</w:t>
            </w:r>
          </w:p>
        </w:tc>
        <w:tc>
          <w:tcPr>
            <w:tcW w:type="dxa" w:w="705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Pendiente de revisión y aprobación del equipo</w:t>
            </w:r>
          </w:p>
        </w:tc>
      </w:tr>
      <w:tr>
        <w:trPr>
          <w:cantSplit/>
        </w:trPr>
        <w:tc>
          <w:tcPr>
            <w:tcW w:type="dxa" w:w="244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Iniciativa</w:t>
            </w:r>
          </w:p>
        </w:tc>
        <w:tc>
          <w:tcPr>
            <w:tcW w:type="dxa" w:w="705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Proyecto propio del equipo, desarrollado en el contexto de Capstone</w:t>
            </w:r>
          </w:p>
        </w:tc>
      </w:tr>
      <w:tr>
        <w:trPr>
          <w:cantSplit/>
        </w:trPr>
        <w:tc>
          <w:tcPr>
            <w:tcW w:type="dxa" w:w="244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Coordinación</w:t>
            </w:r>
          </w:p>
        </w:tc>
        <w:tc>
          <w:tcPr>
            <w:tcW w:type="dxa" w:w="705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Diego Cortés</w:t>
            </w:r>
          </w:p>
        </w:tc>
      </w:tr>
      <w:tr>
        <w:trPr>
          <w:cantSplit/>
        </w:trPr>
        <w:tc>
          <w:tcPr>
            <w:tcW w:type="dxa" w:w="244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Aprobación interna del producto</w:t>
            </w:r>
          </w:p>
        </w:tc>
        <w:tc>
          <w:tcPr>
            <w:tcW w:type="dxa" w:w="705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Kevin Iturra</w:t>
            </w:r>
          </w:p>
        </w:tc>
      </w:tr>
      <w:tr>
        <w:trPr>
          <w:cantSplit/>
        </w:trPr>
        <w:tc>
          <w:tcPr>
            <w:tcW w:type="dxa" w:w="244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Validación académica</w:t>
            </w:r>
          </w:p>
        </w:tc>
        <w:tc>
          <w:tcPr>
            <w:tcW w:type="dxa" w:w="705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Profesor guía y comisión evaluadora, según las guías APT</w:t>
            </w:r>
          </w:p>
        </w:tc>
      </w:tr>
    </w:tbl>
    <w:p>
      <w:pPr>
        <w:spacing w:after="0" w:before="0" w:line="60" w:lineRule="exact"/>
      </w:pPr>
      <w:r>
        <w:rPr>
          <w:sz w:val="6"/>
        </w:rPr>
      </w:r>
    </w:p>
    <w:p>
      <w:pPr>
        <w:jc w:val="both"/>
      </w:pPr>
      <w:r>
        <w:t>Esta acta establece el propósito, alcance, responsabilidades, entregables y condiciones de aceptación de Splash. Su aprobación formaliza los acuerdos del equipo y orienta la planificación y el control de cambios. No sustituye las guías de evaluación académica ni acredita resultados todavía no verificados.</w:t>
      </w:r>
    </w:p>
    <w:p>
      <w:pPr>
        <w:jc w:val="both"/>
      </w:pPr>
      <w:r>
        <w:t>CAM-04 · 21 de octubre de 2026: se consolida la exclusión de pasarelas externas del acta v1.1, por instrucción del solicitante. Sustituye CAM-03 en todos los criterios vigentes del presente conjunto. Se adopta como alcance objetivo el registro manual de pagos y liquidaciones, todavía no implementado según la auditoría. La revisión y conformidad del equipo y del docente se registrarán cuando ocurran; no se acredita una reunión de aprobación. El producto sigue en desarrollo; esta conciliación no acredita implementación manual ni una reunión o aprobación que no esté registrada.</w:t>
      </w:r>
    </w:p>
    <w:p>
      <w:pPr>
        <w:pStyle w:val="Heading1"/>
        <w:pageBreakBefore/>
      </w:pPr>
      <w:r>
        <w:t>2. Fundamentación y objetivos</w:t>
      </w:r>
    </w:p>
    <w:p>
      <w:pPr>
        <w:pStyle w:val="Heading2"/>
      </w:pPr>
      <w:r>
        <w:t>2.1 Contexto y problema</w:t>
      </w:r>
    </w:p>
    <w:p>
      <w:pPr>
        <w:jc w:val="both"/>
      </w:pPr>
      <w:r>
        <w:t>El equipo identifica dificultades para encontrar, comparar y coordinar servicios de lavado de vehículos a domicilio, además de una visibilidad limitada de prestadores independientes. La búsqueda mediante locales, recomendaciones o canales dispersos puede dificultar conocer disponibilidad, precio, avance y evidencia del servicio. Estas observaciones constituyen la hipótesis de necesidad del proyecto y serán contrastadas mediante validación con usuarios; no representan un estudio de mercado concluido.</w:t>
      </w:r>
    </w:p>
    <w:p>
      <w:pPr>
        <w:jc w:val="both"/>
      </w:pPr>
      <w:r>
        <w:t>Splash propone centralizar la relación entre clientes y prestadores que dispongan de sus propios implementos. La plataforma facilitará la solicitud inmediata o programada, la aceptación, el seguimiento y el cierre del servicio. La cobertura inicial se definirá antes del piloto, considerando la viabilidad del lugar de atención y la revisión de las condiciones aplicables.</w:t>
      </w:r>
    </w:p>
    <w:p>
      <w:pPr>
        <w:pStyle w:val="Heading2"/>
      </w:pPr>
      <w:r>
        <w:t>2.2 Justificación e innovación</w:t>
      </w:r>
    </w:p>
    <w:p>
      <w:pPr>
        <w:jc w:val="both"/>
      </w:pPr>
      <w:r>
        <w:t>La iniciativa permite aplicar competencias de desarrollo móvil y web, integración de servicios, modelado de datos, seguridad, pruebas y gestión de proyectos. Su aporte propuesto consiste en reunir la habilitación del prestador, la coordinación del lavado, el seguimiento GPS, la evidencia antes y después y la trazabilidad del pago en un mismo proceso. La diferencia y el valor agregado se sustentarán con evidencia en el informe final, sin afirmar exclusividad de la solución en el mercado.</w:t>
      </w:r>
    </w:p>
    <w:p>
      <w:pPr>
        <w:pStyle w:val="Heading2"/>
      </w:pPr>
      <w:r>
        <w:t>2.3 Objetivo general</w:t>
      </w:r>
    </w:p>
    <w:p>
      <w:pPr>
        <w:jc w:val="both"/>
      </w:pPr>
      <w:r>
        <w:t>Desarrollar y validar una aplicación con interfaces para cliente, limpiador y administrador, conectadas mediante el backend y los datos necesarios, que permita gestionar la solicitud y la prestación de un lavado de vehículos a domicilio, desde el registro hasta la confirmación del servicio y el registro manual de información de pago, sin integrar pasarelas de pago externas.</w:t>
      </w:r>
    </w:p>
    <w:p>
      <w:pPr>
        <w:pStyle w:val="Heading2"/>
      </w:pPr>
      <w:r>
        <w:t>2.4 Objetivos específicos</w:t>
      </w:r>
    </w:p>
    <w:p>
      <w:pPr>
        <w:pStyle w:val="ListBullet"/>
      </w:pPr>
      <w:r>
        <w:t>Implementar el acceso y los permisos de los perfiles cliente, prestador y administrador, incluyendo la revisión de implementos del prestador.</w:t>
      </w:r>
    </w:p>
    <w:p>
      <w:pPr>
        <w:pStyle w:val="ListBullet"/>
      </w:pPr>
      <w:r>
        <w:t>Integrar solicitudes inmediatas y programadas, disponibilidad, aceptación y seguimiento GPS del prestador durante la atención.</w:t>
      </w:r>
    </w:p>
    <w:p>
      <w:pPr>
        <w:pStyle w:val="ListBullet"/>
      </w:pPr>
      <w:r>
        <w:t>Registrar estados del servicio, evidencia fotográfica antes y después, confirmación de término e historial.</w:t>
      </w:r>
    </w:p>
    <w:p>
      <w:pPr>
        <w:pStyle w:val="ListBullet"/>
      </w:pPr>
      <w:r>
        <w:t>Habilitar el registro y la consulta manual de la información de pago y liquidación vinculada al servicio, con permisos y trazabilidad, sin ejecutar cobros, reembolsos ni transferencias mediante API de terceros.</w:t>
      </w:r>
    </w:p>
    <w:p>
      <w:pPr>
        <w:pStyle w:val="ListBullet"/>
      </w:pPr>
      <w:r>
        <w:t>Verificar el sistema mediante pruebas unitarias, de integración, rendimiento y seguridad, con evidencias vinculadas a requisitos.</w:t>
      </w:r>
    </w:p>
    <w:p>
      <w:pPr>
        <w:pStyle w:val="ListBullet"/>
      </w:pPr>
      <w:r>
        <w:t>Entregar arquitectura, modelo de datos, UML, README, configuración de despliegue y los informes académicos requeridos.</w:t>
      </w:r>
    </w:p>
    <w:p>
      <w:pPr>
        <w:pStyle w:val="Heading1"/>
        <w:pageBreakBefore/>
      </w:pPr>
      <w:r>
        <w:t>3. Alcance y límites del proyecto</w:t>
      </w:r>
    </w:p>
    <w:p>
      <w:pPr>
        <w:jc w:val="both"/>
      </w:pPr>
      <w:r>
        <w:t>El alcance se limita a los perfiles cliente, limpiador y administrador: interfaces Android para los dos primeros y panel web para el tercero, conectados al mismo backend y datos. Incluye la API, persistencia y configuración necesarias para operar el producto. No incorpora otras aplicaciones, perfiles comerciales ni servicios distintos del lavado de vehículos. Cada función debe cumplir sus criterios vigentes, estar integrada, probada y documentada.</w:t>
      </w:r>
    </w:p>
    <w:tbl>
      <w:tblPr>
        <w:tblW w:type="auto" w:w="0"/>
        <w:tblLayout w:type="fixed"/>
        <w:tblLook w:firstColumn="1" w:firstRow="1" w:lastColumn="0" w:lastRow="0" w:noHBand="0" w:noVBand="1" w:val="04A0"/>
      </w:tblPr>
      <w:tblGrid>
        <w:gridCol w:w="1728"/>
        <w:gridCol w:w="7776"/>
      </w:tblGrid>
      <w:tr>
        <w:trPr>
          <w:cantSplit/>
          <w:tblHeader/>
        </w:trPr>
        <w:tc>
          <w:tcPr>
            <w:tcW w:type="dxa" w:w="1728"/>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Área</w:t>
            </w:r>
          </w:p>
        </w:tc>
        <w:tc>
          <w:tcPr>
            <w:tcW w:type="dxa" w:w="7776"/>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Capacidades incluidas</w:t>
            </w:r>
          </w:p>
        </w:tc>
      </w:tr>
      <w:tr>
        <w:trPr>
          <w:cantSplit/>
        </w:trPr>
        <w:tc>
          <w:tcPr>
            <w:tcW w:type="dxa" w:w="172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Cliente</w:t>
            </w:r>
          </w:p>
        </w:tc>
        <w:tc>
          <w:tcPr>
            <w:tcW w:type="dxa" w:w="777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Registro, autenticación, perfil, vehículo y dirección; solicitud inmediata o programada, precio, seguimiento GPS y de estados, consulta de evidencias, confirmación e historial. Consulta del estado de pago registrado manualmente, sin checkout ni pasarela externa.</w:t>
            </w:r>
          </w:p>
        </w:tc>
      </w:tr>
      <w:tr>
        <w:trPr>
          <w:cantSplit/>
        </w:trPr>
        <w:tc>
          <w:tcPr>
            <w:tcW w:type="dxa" w:w="172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Prestador</w:t>
            </w:r>
          </w:p>
        </w:tc>
        <w:tc>
          <w:tcPr>
            <w:tcW w:type="dxa" w:w="777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Registro y postulación del limpiador, evidencia de implementos propios, habilitación administrativa, disponibilidad, aceptación, estados y GPS durante la atención, fotos antes y después e información de servicios, ganancias y liquidaciones registradas manualmente.</w:t>
            </w:r>
          </w:p>
        </w:tc>
      </w:tr>
      <w:tr>
        <w:trPr>
          <w:cantSplit/>
        </w:trPr>
        <w:tc>
          <w:tcPr>
            <w:tcW w:type="dxa" w:w="172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Administración</w:t>
            </w:r>
          </w:p>
        </w:tc>
        <w:tc>
          <w:tcPr>
            <w:tcW w:type="dxa" w:w="777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Panel administrativo con permisos diferenciados dentro del perfil administrador: gestión de usuarios y limpiadores, revisión de habilitación, supervisión de servicios y registro o validación manual de pagos y liquidaciones. Tarifas, cobertura y reportes según requisitos priorizados y aprobados.</w:t>
            </w:r>
          </w:p>
        </w:tc>
      </w:tr>
      <w:tr>
        <w:trPr>
          <w:cantSplit/>
        </w:trPr>
        <w:tc>
          <w:tcPr>
            <w:tcW w:type="dxa" w:w="172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Servicio integrado</w:t>
            </w:r>
          </w:p>
        </w:tc>
        <w:tc>
          <w:tcPr>
            <w:tcW w:type="dxa" w:w="777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Solicitud inmediata o programada, aceptación por un limpiador habilitado, desplazamiento, ejecución, evidencia, confirmación e historial. Gestión de falta de limpiadores, cancelaciones, disputas y fallas de conexión conforme a reglas refinadas, sin reembolso automático.</w:t>
            </w:r>
          </w:p>
        </w:tc>
      </w:tr>
      <w:tr>
        <w:trPr>
          <w:cantSplit/>
        </w:trPr>
        <w:tc>
          <w:tcPr>
            <w:tcW w:type="dxa" w:w="172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Soporte técnico</w:t>
            </w:r>
          </w:p>
        </w:tc>
        <w:tc>
          <w:tcPr>
            <w:tcW w:type="dxa" w:w="777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API propia, persistencia, permisos por rol, validaciones, trazabilidad, configuración reproducible y pruebas. Estos componentes sostienen los tres perfiles; no amplían la oferta a otras aplicaciones o negocios.</w:t>
            </w:r>
          </w:p>
        </w:tc>
      </w:tr>
    </w:tbl>
    <w:p>
      <w:pPr>
        <w:spacing w:after="0" w:before="0" w:line="60" w:lineRule="exact"/>
      </w:pPr>
      <w:r>
        <w:rPr>
          <w:sz w:val="6"/>
        </w:rPr>
      </w:r>
    </w:p>
    <w:p>
      <w:pPr>
        <w:pStyle w:val="Heading2"/>
      </w:pPr>
      <w:r>
        <w:t>3.1 Registro de pagos y liquidaciones sin pasarela externa</w:t>
      </w:r>
    </w:p>
    <w:p>
      <w:pPr>
        <w:jc w:val="both"/>
      </w:pPr>
      <w:r>
        <w:t>Se excluye toda integración con pasarelas externas, incluso en pruebas. La aplicación no procesa dinero: solo se propone registrar evidencia, validación y liquidación manual. Según la auditoría de 20 de octubre, no existe aún ese registro, una pasarela ni los modelos Pago, Liquidacion o DatosBancarios. Esta acta define alcance objetivo, no estado implementado.</w:t>
      </w:r>
    </w:p>
    <w:p>
      <w:pPr>
        <w:jc w:val="both"/>
      </w:pPr>
      <w:r>
        <w:t>Un comprobante o referencia permitirá revisión manual; cargarlo no acreditará recepción del dinero. Se mantiene 15 % como comisión referencial y liquidación semanal. Deben ratificarse medio, momento, cuenta receptora, validación, corte, redondeo y tratamiento manual de cancelaciones, reembolsos y disputas. No se heredan cargos por etapa del modelo de pasarela ni se incluyen billetera o movimientos automáticos de fondos.</w:t>
      </w:r>
    </w:p>
    <w:p>
      <w:pPr>
        <w:pStyle w:val="Heading2"/>
      </w:pPr>
      <w:r>
        <w:t>3.2 Exclusiones y condiciones del piloto</w:t>
      </w:r>
    </w:p>
    <w:p>
      <w:pPr>
        <w:pStyle w:val="ListBullet"/>
      </w:pPr>
      <w:r>
        <w:t>Se excluyen iOS en esta entrega, pasarelas de pago externas, pagos o transferencias automatizadas, servicios distintos del lavado de vehículos, suscripciones, marketplace y nuevas categorías. El efectivo no se incorpora sin un cambio de alcance aprobado.</w:t>
      </w:r>
    </w:p>
    <w:p>
      <w:pPr>
        <w:pStyle w:val="ListBullet"/>
      </w:pPr>
      <w:r>
        <w:t>No se incluye suministro de equipos ni habilitación física de puntos de lavado. El limpiador aportará sus implementos; los criterios y evidencias para su habilitación deberán definirse. Incorporar puntos físicos requiere un cambio de alcance.</w:t>
      </w:r>
    </w:p>
    <w:p>
      <w:pPr>
        <w:pStyle w:val="ListBullet"/>
      </w:pPr>
      <w:r>
        <w:t>No se comprometen publicación en tiendas, lanzamiento comercial masivo ni despliegue productivo. La entrega se validará en un entorno académico de demostración reproducible, con datos de prueba identificados.</w:t>
      </w:r>
    </w:p>
    <w:p>
      <w:pPr>
        <w:pStyle w:val="ListBullet"/>
      </w:pPr>
      <w:r>
        <w:t>La cobertura comunal y los lugares de atención deberán definirse antes del piloto. No se asume autorización para lavar en la vía pública ni se garantiza cobertura en toda la Región Metropolitana.</w:t>
      </w:r>
    </w:p>
    <w:p>
      <w:pPr>
        <w:pStyle w:val="Heading1"/>
        <w:pageBreakBefore/>
      </w:pPr>
      <w:r>
        <w:t>4. Organización y toma de decisiones</w:t>
      </w:r>
    </w:p>
    <w:tbl>
      <w:tblPr>
        <w:tblW w:type="auto" w:w="0"/>
        <w:tblLayout w:type="fixed"/>
        <w:tblLook w:firstColumn="1" w:firstRow="1" w:lastColumn="0" w:lastRow="0" w:noHBand="0" w:noVBand="1" w:val="04A0"/>
      </w:tblPr>
      <w:tblGrid>
        <w:gridCol w:w="2160"/>
        <w:gridCol w:w="7344"/>
      </w:tblGrid>
      <w:tr>
        <w:trPr>
          <w:cantSplit/>
          <w:tblHeader/>
        </w:trPr>
        <w:tc>
          <w:tcPr>
            <w:tcW w:type="dxa" w:w="2160"/>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Integrante</w:t>
            </w:r>
          </w:p>
        </w:tc>
        <w:tc>
          <w:tcPr>
            <w:tcW w:type="dxa" w:w="7344"/>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Responsabilidad principal</w:t>
            </w:r>
          </w:p>
        </w:tc>
      </w:tr>
      <w:tr>
        <w:trPr>
          <w:cantSplit/>
        </w:trPr>
        <w:tc>
          <w:tcPr>
            <w:tcW w:type="dxa" w:w="216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Diego Cortés</w:t>
            </w:r>
          </w:p>
        </w:tc>
        <w:tc>
          <w:tcPr>
            <w:tcW w:type="dxa" w:w="734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Liderar y coordinar el proyecto, supervisar tablero y entregas e integrar interfaces, backend y datos dentro del alcance; no integra una pasarela de pago.</w:t>
            </w:r>
          </w:p>
        </w:tc>
      </w:tr>
      <w:tr>
        <w:trPr>
          <w:cantSplit/>
        </w:trPr>
        <w:tc>
          <w:tcPr>
            <w:tcW w:type="dxa" w:w="216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Kevin Iturra</w:t>
            </w:r>
          </w:p>
        </w:tc>
        <w:tc>
          <w:tcPr>
            <w:tcW w:type="dxa" w:w="7344"/>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Desarrollar frontend, supervisar la codificación y actuar como referente del producto y aprobador interno de funcionalidades.</w:t>
            </w:r>
          </w:p>
        </w:tc>
      </w:tr>
      <w:tr>
        <w:trPr>
          <w:cantSplit/>
        </w:trPr>
        <w:tc>
          <w:tcPr>
            <w:tcW w:type="dxa" w:w="216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Paul Carrillo</w:t>
            </w:r>
          </w:p>
        </w:tc>
        <w:tc>
          <w:tcPr>
            <w:tcW w:type="dxa" w:w="734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Coordinar requisitos y documentación general, mantener consistencia y trazabilidad y apoyar las pruebas.</w:t>
            </w:r>
          </w:p>
        </w:tc>
      </w:tr>
      <w:tr>
        <w:trPr>
          <w:cantSplit/>
        </w:trPr>
        <w:tc>
          <w:tcPr>
            <w:tcW w:type="dxa" w:w="216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Daniel Elgueta</w:t>
            </w:r>
          </w:p>
        </w:tc>
        <w:tc>
          <w:tcPr>
            <w:tcW w:type="dxa" w:w="7344"/>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Preparar y ejecutar pruebas, registrar defectos y evidencias y elaborar documentación asociada a pruebas.</w:t>
            </w:r>
          </w:p>
        </w:tc>
      </w:tr>
      <w:tr>
        <w:trPr>
          <w:cantSplit/>
        </w:trPr>
        <w:tc>
          <w:tcPr>
            <w:tcW w:type="dxa" w:w="216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Equipo completo</w:t>
            </w:r>
          </w:p>
        </w:tc>
        <w:tc>
          <w:tcPr>
            <w:tcW w:type="dxa" w:w="734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Apoyar el desarrollo de backend, revisar cambios, resolver incidencias y preparar la demostración. Cada tarea tendrá un responsable individual en Notion.</w:t>
            </w:r>
          </w:p>
        </w:tc>
      </w:tr>
    </w:tbl>
    <w:p>
      <w:pPr>
        <w:spacing w:after="0" w:before="0" w:line="60" w:lineRule="exact"/>
      </w:pPr>
      <w:r>
        <w:rPr>
          <w:sz w:val="6"/>
        </w:rPr>
      </w:r>
    </w:p>
    <w:p>
      <w:pPr>
        <w:pStyle w:val="Heading2"/>
      </w:pPr>
      <w:r>
        <w:t>4.1 Interesados y validación</w:t>
      </w:r>
    </w:p>
    <w:p>
      <w:pPr>
        <w:jc w:val="both"/>
      </w:pPr>
      <w:r>
        <w:t>Los clientes y prestadores participantes en las pruebas aportarán observaciones sobre el uso del sistema. Aldo Martínez Órdenes, profesor guía de Duoc UC sede Antonio Varas, orientará y revisará avances conforme al proceso académico. La comisión evaluadora calificará la entrega final; la aceptación interna de Kevin no sustituye esa evaluación.</w:t>
      </w:r>
    </w:p>
    <w:p>
      <w:pPr>
        <w:pStyle w:val="Heading2"/>
      </w:pPr>
      <w:r>
        <w:t>4.2 Autoridad y control de cambios</w:t>
      </w:r>
    </w:p>
    <w:p>
      <w:pPr>
        <w:jc w:val="both"/>
      </w:pPr>
      <w:r>
        <w:t>Diego coordina el trabajo y registra acuerdos. Kevin valida la coherencia funcional y técnica del producto. Los cambios que afecten alcance, costos, pagos, cobertura o hitos se analizarán con el equipo y se registrarán antes de incorporarse. La exclusión de pasarelas de esta versión prevalece sobre las referencias anteriores a Webpay o Mercado Pago. Cuando los cambios afecten evidencias o entregas académicas, se solicitará la validación del profesor guía.</w:t>
      </w:r>
    </w:p>
    <w:p>
      <w:pPr>
        <w:jc w:val="both"/>
      </w:pPr>
      <w:r>
        <w:t>Cada cambio registrará motivo, impacto, decisión y responsable. Los compromisos de gasto requieren acuerdo expreso del equipo. La revisión de código y pruebas será cruzada: quien implemente una función no será su único revisor.</w:t>
      </w:r>
    </w:p>
    <w:p>
      <w:pPr>
        <w:pStyle w:val="Heading2"/>
      </w:pPr>
      <w:r>
        <w:t>4.3 Coordinación y repositorios</w:t>
      </w:r>
    </w:p>
    <w:p>
      <w:pPr>
        <w:jc w:val="both"/>
      </w:pPr>
      <w:r>
        <w:t>Notion será el registro del backlog, responsables, prioridades y estado de las tareas. El repositorio de código mantendrá versiones y README. Los documentos tendrán código o nombre estable, versión, responsable y enlace desde el tablero. Las reuniones de los lunes servirán para seguimiento y revisión, sin sustituir la coordinación necesaria durante la semana.</w:t>
      </w:r>
    </w:p>
    <w:p>
      <w:pPr>
        <w:pStyle w:val="Heading2"/>
      </w:pPr>
      <w:r>
        <w:t>4.4 Criterio común de terminado</w:t>
      </w:r>
    </w:p>
    <w:p>
      <w:pPr>
        <w:jc w:val="both"/>
      </w:pPr>
      <w:r>
        <w:t>Una tarea funcional se cierra cuando cumple sus criterios de aceptación, se integra con los componentes afectados, supera las pruebas aplicables, cuenta con revisión de otro integrante y deja actualizada su documentación. Un documento se cierra cuando refleja la versión vigente, tiene referencias y evidencia cuando corresponda y registra su revisión.</w:t>
      </w:r>
    </w:p>
    <w:p>
      <w:pPr>
        <w:pStyle w:val="Heading1"/>
        <w:pageBreakBefore/>
      </w:pPr>
      <w:r>
        <w:t>5. Entregables y criterios de aceptación</w:t>
      </w:r>
    </w:p>
    <w:tbl>
      <w:tblPr>
        <w:tblW w:type="auto" w:w="0"/>
        <w:tblLayout w:type="fixed"/>
        <w:tblLook w:firstColumn="1" w:firstRow="1" w:lastColumn="0" w:lastRow="0" w:noHBand="0" w:noVBand="1" w:val="04A0"/>
      </w:tblPr>
      <w:tblGrid>
        <w:gridCol w:w="2232"/>
        <w:gridCol w:w="7272"/>
      </w:tblGrid>
      <w:tr>
        <w:trPr>
          <w:cantSplit/>
          <w:tblHeader/>
        </w:trPr>
        <w:tc>
          <w:tcPr>
            <w:tcW w:type="dxa" w:w="2232"/>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Entregable</w:t>
            </w:r>
          </w:p>
        </w:tc>
        <w:tc>
          <w:tcPr>
            <w:tcW w:type="dxa" w:w="7272"/>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Condición de aceptación</w:t>
            </w:r>
          </w:p>
        </w:tc>
      </w:tr>
      <w:tr>
        <w:trPr>
          <w:cantSplit/>
        </w:trPr>
        <w:tc>
          <w:tcPr>
            <w:tcW w:type="dxa" w:w="2232"/>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Aplicaciones y panel</w:t>
            </w:r>
          </w:p>
        </w:tc>
        <w:tc>
          <w:tcPr>
            <w:tcW w:type="dxa" w:w="7272"/>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Los perfiles cliente, limpiador y administrador ejecutan sus acciones autorizadas sobre los mismos datos. Se demuestra una solicitud inmediata y una programada en el entorno académico, sin incorporar otros productos ni pasarelas externas.</w:t>
            </w:r>
          </w:p>
        </w:tc>
      </w:tr>
      <w:tr>
        <w:trPr>
          <w:cantSplit/>
        </w:trPr>
        <w:tc>
          <w:tcPr>
            <w:tcW w:type="dxa" w:w="2232"/>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Flujo del servicio</w:t>
            </w:r>
          </w:p>
        </w:tc>
        <w:tc>
          <w:tcPr>
            <w:tcW w:type="dxa" w:w="7272"/>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Prestador habilitado acepta, actualiza estados y GPS, registra evidencia y finaliza. El cliente consulta avance y confirma el cierre; no se duplica la asignación.</w:t>
            </w:r>
          </w:p>
        </w:tc>
      </w:tr>
      <w:tr>
        <w:trPr>
          <w:cantSplit/>
        </w:trPr>
        <w:tc>
          <w:tcPr>
            <w:tcW w:type="dxa" w:w="2232"/>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Registro manual de pagos y liquidaciones</w:t>
            </w:r>
          </w:p>
        </w:tc>
        <w:tc>
          <w:tcPr>
            <w:tcW w:type="dxa" w:w="7272"/>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Objetivo pendiente: evidencia por servicio, recepción validada por Finanzas y liquidación manual con referencia externa. La auditoría no encuentra sus modelos ni rutas. Se requieren reglas ratificadas, implementación, permisos y pruebas de integridad; una pantalla financiera referencial no satisface este criterio.</w:t>
            </w:r>
          </w:p>
        </w:tc>
      </w:tr>
      <w:tr>
        <w:trPr>
          <w:cantSplit/>
        </w:trPr>
        <w:tc>
          <w:tcPr>
            <w:tcW w:type="dxa" w:w="2232"/>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Requisitos y diseño</w:t>
            </w:r>
          </w:p>
        </w:tc>
        <w:tc>
          <w:tcPr>
            <w:tcW w:type="dxa" w:w="7272"/>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Requisitos funcionales y no funcionales verificables; arquitectura, componentes, comunicación, modelo ER y UML de casos de uso, secuencia principal, componentes y clases cuando corresponda.</w:t>
            </w:r>
          </w:p>
        </w:tc>
      </w:tr>
      <w:tr>
        <w:trPr>
          <w:cantSplit/>
        </w:trPr>
        <w:tc>
          <w:tcPr>
            <w:tcW w:type="dxa" w:w="2232"/>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Despliegue y README</w:t>
            </w:r>
          </w:p>
        </w:tc>
        <w:tc>
          <w:tcPr>
            <w:tcW w:type="dxa" w:w="7272"/>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README raíz, Dockerfile(s), Compose y ejemplo de entorno sin secretos para componentes aplicables; pasos Expo/Android. Son entregables pendientes: la auditoría no encontró README/Docker/Compose en raíz. Una plantilla documental no sustituye archivos ni instalación reproducida.</w:t>
            </w:r>
          </w:p>
        </w:tc>
      </w:tr>
      <w:tr>
        <w:trPr>
          <w:cantSplit/>
        </w:trPr>
        <w:tc>
          <w:tcPr>
            <w:tcW w:type="dxa" w:w="2232"/>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Pruebas y evidencias</w:t>
            </w:r>
          </w:p>
        </w:tc>
        <w:tc>
          <w:tcPr>
            <w:tcW w:type="dxa" w:w="7272"/>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Casos reales de acceso, servicio, concurrencia, integración, rendimiento y seguridad con resultados y revisión. No hay CP/EV ejecutados aportados; suite existente no equivale a salida de pruebas de esta entrega.</w:t>
            </w:r>
          </w:p>
        </w:tc>
      </w:tr>
      <w:tr>
        <w:trPr>
          <w:cantSplit/>
        </w:trPr>
        <w:tc>
          <w:tcPr>
            <w:tcW w:type="dxa" w:w="2232"/>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Informes APT</w:t>
            </w:r>
          </w:p>
        </w:tc>
        <w:tc>
          <w:tcPr>
            <w:tcW w:type="dxa" w:w="7272"/>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Informe de avance y final conforme a las guías 2.4 y 2.6, con resultados, decisiones, evidencias e innovación: problema, diferencia y valor.</w:t>
            </w:r>
          </w:p>
        </w:tc>
      </w:tr>
      <w:tr>
        <w:trPr>
          <w:cantSplit/>
        </w:trPr>
        <w:tc>
          <w:tcPr>
            <w:tcW w:type="dxa" w:w="2232"/>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Presentación final</w:t>
            </w:r>
          </w:p>
        </w:tc>
        <w:tc>
          <w:tcPr>
            <w:tcW w:type="dxa" w:w="7272"/>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Demostración y evidencias coherentes con el informe; ajustes derivados de la retroalimentación docente.</w:t>
            </w:r>
          </w:p>
        </w:tc>
      </w:tr>
    </w:tbl>
    <w:p>
      <w:pPr>
        <w:spacing w:after="0" w:before="0" w:line="60" w:lineRule="exact"/>
      </w:pPr>
      <w:r>
        <w:rPr>
          <w:sz w:val="6"/>
        </w:rPr>
      </w:r>
    </w:p>
    <w:p>
      <w:pPr>
        <w:pStyle w:val="Heading2"/>
      </w:pPr>
      <w:r>
        <w:t>5.1 Condiciones generales de aceptación</w:t>
      </w:r>
    </w:p>
    <w:p>
      <w:pPr>
        <w:pStyle w:val="ListBullet"/>
      </w:pPr>
      <w:r>
        <w:t>Las HU vigentes son las 83 de 11 v0.7, con criterios CAM-04 identificados. Los estados 17/39/25/2 de v0.2 son históricos, no aceptación actual. Cada requisito del alcance debe tener evidencia o cambio expresamente aceptado; no se exige integración con una pasarela excluida ni se cierra una HU solo por conservar su ID.</w:t>
      </w:r>
    </w:p>
    <w:p>
      <w:pPr>
        <w:pStyle w:val="ListBullet"/>
      </w:pPr>
      <w:r>
        <w:t>No quedarán defectos abiertos que impidan el flujo principal, permitan acceso indebido entre roles o causen inconsistencias de pagos y servicios.</w:t>
      </w:r>
    </w:p>
    <w:p>
      <w:pPr>
        <w:pStyle w:val="ListBullet"/>
      </w:pPr>
      <w:r>
        <w:t>Los umbrales de rendimiento y disponibilidad se definirán en requisitos no funcionales antes de ejecutar sus pruebas; no se declararán resultados sin medición.</w:t>
      </w:r>
    </w:p>
    <w:p>
      <w:pPr>
        <w:pStyle w:val="ListBullet"/>
      </w:pPr>
      <w:r>
        <w:t>La documentación permitirá a un revisor ejecutar el sistema en el entorno indicado. Las limitaciones de servicios gratuitos quedarán registradas.</w:t>
      </w:r>
    </w:p>
    <w:p>
      <w:pPr>
        <w:pStyle w:val="ListBullet"/>
      </w:pPr>
      <w:r>
        <w:t>La aprobación académica corresponde al proceso y criterios del profesor y la comisión; esta acta no anticipa una calificación.</w:t>
      </w:r>
    </w:p>
    <w:p>
      <w:pPr>
        <w:pStyle w:val="Heading1"/>
        <w:pageBreakBefore/>
      </w:pPr>
      <w:r>
        <w:t>6. Metodología y planificación por semanas</w:t>
      </w:r>
    </w:p>
    <w:p>
      <w:pPr>
        <w:jc w:val="both"/>
      </w:pPr>
      <w:r>
        <w:t>Se propone Scrumban: backlog priorizado, tablero visual en Notion y ciclos de desarrollo de dos semanas. Desarrollo, documentación y pruebas avanzarán conjuntamente. El trabajo pendiente se replanificará según capacidad y progreso; cada ciclo conservará su duración de dos semanas. Esta organización es una adaptación del equipo, no una afirmación de cumplimiento íntegro de Scrum [2].</w:t>
      </w:r>
    </w:p>
    <w:p>
      <w:pPr>
        <w:jc w:val="both"/>
      </w:pPr>
      <w:r>
        <w:t>El horizonte de desarrollo comprende 16 semanas relativas, organizadas en 8 sprints de 2 semanas. Las actividades de documentación y pruebas se mantienen durante todo el período. La asignación de semanas es una propuesta y no registra sprints ya ejecutados. Las fechas de evaluación y la correspondencia con las fases académicas deberán confirmarse con el profesor; no se presuponen a partir de este plan.</w:t>
      </w:r>
    </w:p>
    <w:tbl>
      <w:tblPr>
        <w:tblW w:type="auto" w:w="0"/>
        <w:tblLayout w:type="fixed"/>
        <w:tblLook w:firstColumn="1" w:firstRow="1" w:lastColumn="0" w:lastRow="0" w:noHBand="0" w:noVBand="1" w:val="04A0"/>
      </w:tblPr>
      <w:tblGrid>
        <w:gridCol w:w="3024"/>
        <w:gridCol w:w="6480"/>
      </w:tblGrid>
      <w:tr>
        <w:trPr>
          <w:cantSplit/>
          <w:tblHeader/>
        </w:trPr>
        <w:tc>
          <w:tcPr>
            <w:tcW w:type="dxa" w:w="3024"/>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Período</w:t>
            </w:r>
          </w:p>
        </w:tc>
        <w:tc>
          <w:tcPr>
            <w:tcW w:type="dxa" w:w="6480"/>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Resultado e hito propuesto</w:t>
            </w:r>
          </w:p>
        </w:tc>
      </w:tr>
      <w:tr>
        <w:trPr>
          <w:cantSplit/>
        </w:trPr>
        <w:tc>
          <w:tcPr>
            <w:tcW w:type="dxa" w:w="302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Sprint 1 · semanas 1–2</w:t>
            </w:r>
          </w:p>
        </w:tc>
        <w:tc>
          <w:tcPr>
            <w:tcW w:type="dxa" w:w="648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Refinar alcance y las HU afectadas por la exclusión de pasarelas; preparar entorno, datos de prueba y controles de acceso. Hito propuesto: requisitos del ciclo revisados.</w:t>
            </w:r>
          </w:p>
        </w:tc>
      </w:tr>
      <w:tr>
        <w:trPr>
          <w:cantSplit/>
        </w:trPr>
        <w:tc>
          <w:tcPr>
            <w:tcW w:type="dxa" w:w="3024"/>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Sprint 2 · semanas 3–4</w:t>
            </w:r>
          </w:p>
        </w:tc>
        <w:tc>
          <w:tcPr>
            <w:tcW w:type="dxa" w:w="648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Completar perfiles y habilitación del limpiador; coordinar modelos y retirar dependencias de billetera o pasarela. Hito propuesto: perfiles conectados.</w:t>
            </w:r>
          </w:p>
        </w:tc>
      </w:tr>
      <w:tr>
        <w:trPr>
          <w:cantSplit/>
        </w:trPr>
        <w:tc>
          <w:tcPr>
            <w:tcW w:type="dxa" w:w="302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Sprint 3 · semanas 5–6</w:t>
            </w:r>
          </w:p>
        </w:tc>
        <w:tc>
          <w:tcPr>
            <w:tcW w:type="dxa" w:w="648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Integrar solicitudes inmediatas y programadas, ubicación, cobertura, precio y aceptación. Hito propuesto: solicitud compartida entre cliente y limpiador.</w:t>
            </w:r>
          </w:p>
        </w:tc>
      </w:tr>
      <w:tr>
        <w:trPr>
          <w:cantSplit/>
        </w:trPr>
        <w:tc>
          <w:tcPr>
            <w:tcW w:type="dxa" w:w="3024"/>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Sprint 4 · semanas 7–8</w:t>
            </w:r>
          </w:p>
        </w:tc>
        <w:tc>
          <w:tcPr>
            <w:tcW w:type="dxa" w:w="648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Completar estados, seguimiento GPS y atención. Hito propuesto: avance del servicio visible para los perfiles autorizados.</w:t>
            </w:r>
          </w:p>
        </w:tc>
      </w:tr>
      <w:tr>
        <w:trPr>
          <w:cantSplit/>
        </w:trPr>
        <w:tc>
          <w:tcPr>
            <w:tcW w:type="dxa" w:w="302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Sprint 5 · semanas 9–10</w:t>
            </w:r>
          </w:p>
        </w:tc>
        <w:tc>
          <w:tcPr>
            <w:tcW w:type="dxa" w:w="648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Integrar evidencia, confirmación, cancelaciones y disputas con tratamiento manual acordado. Hito propuesto: cierre del servicio trazable.</w:t>
            </w:r>
          </w:p>
        </w:tc>
      </w:tr>
      <w:tr>
        <w:trPr>
          <w:cantSplit/>
        </w:trPr>
        <w:tc>
          <w:tcPr>
            <w:tcW w:type="dxa" w:w="3024"/>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Sprint 6 · semanas 11–12</w:t>
            </w:r>
          </w:p>
        </w:tc>
        <w:tc>
          <w:tcPr>
            <w:tcW w:type="dxa" w:w="648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Desarrollar registro manual de pagos, cálculo de comisión y liquidación semanal según reglas aprobadas. Hito propuesto: registros y cálculos verificables, sin mover fondos.</w:t>
            </w:r>
          </w:p>
        </w:tc>
      </w:tr>
      <w:tr>
        <w:trPr>
          <w:cantSplit/>
        </w:trPr>
        <w:tc>
          <w:tcPr>
            <w:tcW w:type="dxa" w:w="302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Sprint 7 · semanas 13–14</w:t>
            </w:r>
          </w:p>
        </w:tc>
        <w:tc>
          <w:tcPr>
            <w:tcW w:type="dxa" w:w="648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Completar administración y reportes priorizados; pruebas de integración, seguridad y rendimiento; corregir defectos. Hito propuesto: versión integrada para revisión.</w:t>
            </w:r>
          </w:p>
        </w:tc>
      </w:tr>
      <w:tr>
        <w:trPr>
          <w:cantSplit/>
        </w:trPr>
        <w:tc>
          <w:tcPr>
            <w:tcW w:type="dxa" w:w="3024"/>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Sprint 8 · semanas 15–16</w:t>
            </w:r>
          </w:p>
        </w:tc>
        <w:tc>
          <w:tcPr>
            <w:tcW w:type="dxa" w:w="648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Ejecutar regresión y flujo completo; reunir evidencias, reproducir instalación, consolidar informes y preparar demostración. Hito propuesto: entrega académica con resultados y pendientes explícitos.</w:t>
            </w:r>
          </w:p>
        </w:tc>
      </w:tr>
    </w:tbl>
    <w:p>
      <w:pPr>
        <w:spacing w:after="0" w:before="0" w:line="60" w:lineRule="exact"/>
      </w:pPr>
      <w:r>
        <w:rPr>
          <w:sz w:val="6"/>
        </w:rPr>
      </w:r>
    </w:p>
    <w:p>
      <w:pPr>
        <w:pStyle w:val="Heading2"/>
      </w:pPr>
      <w:r>
        <w:t>6.1 Seguimiento y capacidad</w:t>
      </w:r>
    </w:p>
    <w:p>
      <w:pPr>
        <w:jc w:val="both"/>
      </w:pPr>
      <w:r>
        <w:t>Antes de comprometer trabajo, el equipo registrará fecha efectiva de inicio, objetivo, capacidad, selección y cierre de cada ciclo. No existen esas constancias en las fuentes aportadas; no se declara un sprint actual ni ciclos ejecutados a partir del calendario o de plantillas.</w:t>
      </w:r>
    </w:p>
    <w:p>
      <w:pPr>
        <w:jc w:val="both"/>
      </w:pPr>
      <w:r>
        <w:t>Los informes de avance y de fase 2 se actualizarán con el desarrollo y la evidencia disponible. La presentación y los ajustes académicos se coordinarán según las guías, sin diferir toda la documentación hasta el final [4–6]. La revisión del registro manual de pagos y de la configuración reproducible se realizará desde los primeros ciclos.</w:t>
      </w:r>
    </w:p>
    <w:p>
      <w:pPr>
        <w:pStyle w:val="Heading1"/>
        <w:pageBreakBefore/>
      </w:pPr>
      <w:r>
        <w:t>7. Recursos, riesgos y decisiones pendientes</w:t>
      </w:r>
    </w:p>
    <w:p>
      <w:pPr>
        <w:pStyle w:val="Heading2"/>
      </w:pPr>
      <w:r>
        <w:t>7.1 Recursos y restricciones</w:t>
      </w:r>
    </w:p>
    <w:p>
      <w:pPr>
        <w:jc w:val="both"/>
      </w:pPr>
      <w:r>
        <w:t>El proyecto será desarrollado por cuatro estudiantes sin presupuesto asignado para contratar servicios. Se utilizarán equipos disponibles, software y modalidades gratuitas dentro de sus condiciones de uso. No se incluyen contratación de una pasarela, convenios bancarios, infraestructura pagada ni transacciones reales como condición de aceptación. Los registros demostrativos identificarán datos de prueba y no se presentarán como dinero transferido.</w:t>
      </w:r>
    </w:p>
    <w:tbl>
      <w:tblPr>
        <w:tblW w:type="auto" w:w="0"/>
        <w:tblLayout w:type="fixed"/>
        <w:tblLook w:firstColumn="1" w:firstRow="1" w:lastColumn="0" w:lastRow="0" w:noHBand="0" w:noVBand="1" w:val="04A0"/>
      </w:tblPr>
      <w:tblGrid>
        <w:gridCol w:w="3168"/>
        <w:gridCol w:w="6336"/>
      </w:tblGrid>
      <w:tr>
        <w:trPr>
          <w:cantSplit/>
          <w:tblHeader/>
        </w:trPr>
        <w:tc>
          <w:tcPr>
            <w:tcW w:type="dxa" w:w="3168"/>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Riesgo</w:t>
            </w:r>
          </w:p>
        </w:tc>
        <w:tc>
          <w:tcPr>
            <w:tcW w:type="dxa" w:w="6336"/>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Respuesta y responsable</w:t>
            </w:r>
          </w:p>
        </w:tc>
      </w:tr>
      <w:tr>
        <w:trPr>
          <w:cantSplit/>
        </w:trPr>
        <w:tc>
          <w:tcPr>
            <w:tcW w:type="dxa" w:w="316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Retrabajo por criterio económico no conciliado o sin implementación</w:t>
            </w:r>
          </w:p>
        </w:tc>
        <w:tc>
          <w:tcPr>
            <w:tcW w:type="dxa" w:w="633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Usar CAM-04, ratificar reglas manuales y no desarrollar contra CAM-03. La actualización corrige textos; construir y probar registros sigue pendiente. Diego coordina; Kevin valida; Daniel verifica.</w:t>
            </w:r>
          </w:p>
        </w:tc>
      </w:tr>
      <w:tr>
        <w:trPr>
          <w:cantSplit/>
        </w:trPr>
        <w:tc>
          <w:tcPr>
            <w:tcW w:type="dxa" w:w="316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Cobertura o lugar de lavado no definido</w:t>
            </w:r>
          </w:p>
        </w:tc>
        <w:tc>
          <w:tcPr>
            <w:tcW w:type="dxa" w:w="633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Registrar condiciones y verificar lugares antes del piloto. Paul documenta; Kevin valida cobertura.</w:t>
            </w:r>
          </w:p>
        </w:tc>
      </w:tr>
      <w:tr>
        <w:trPr>
          <w:cantSplit/>
        </w:trPr>
        <w:tc>
          <w:tcPr>
            <w:tcW w:type="dxa" w:w="316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Servicios gratuitos insuficientes</w:t>
            </w:r>
          </w:p>
        </w:tc>
        <w:tc>
          <w:tcPr>
            <w:tcW w:type="dxa" w:w="633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Revisar límites y preparar un entorno de demostración reproducible. Diego y equipo.</w:t>
            </w:r>
          </w:p>
        </w:tc>
      </w:tr>
      <w:tr>
        <w:trPr>
          <w:cantSplit/>
        </w:trPr>
        <w:tc>
          <w:tcPr>
            <w:tcW w:type="dxa" w:w="316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Fallas de GPS o conexión</w:t>
            </w:r>
          </w:p>
        </w:tc>
        <w:tc>
          <w:tcPr>
            <w:tcW w:type="dxa" w:w="633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Definir estados ante desconexión y probar recuperación sin información engañosa. Kevin y Diego; Daniel prueba.</w:t>
            </w:r>
          </w:p>
        </w:tc>
      </w:tr>
      <w:tr>
        <w:trPr>
          <w:cantSplit/>
        </w:trPr>
        <w:tc>
          <w:tcPr>
            <w:tcW w:type="dxa" w:w="316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Acceso indebido o datos inconsistentes</w:t>
            </w:r>
          </w:p>
        </w:tc>
        <w:tc>
          <w:tcPr>
            <w:tcW w:type="dxa" w:w="633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Permisos por rol, revisión cruzada y pruebas de seguridad e integración. Equipo; Daniel conserva evidencia.</w:t>
            </w:r>
          </w:p>
        </w:tc>
      </w:tr>
      <w:tr>
        <w:trPr>
          <w:cantSplit/>
        </w:trPr>
        <w:tc>
          <w:tcPr>
            <w:tcW w:type="dxa" w:w="316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Carga de trabajo y ampliación de alcance</w:t>
            </w:r>
          </w:p>
        </w:tc>
        <w:tc>
          <w:tcPr>
            <w:tcW w:type="dxa" w:w="633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Priorizar el ciclo completo, limitar trabajo simultáneo y registrar cambios. Diego coordina.</w:t>
            </w:r>
          </w:p>
        </w:tc>
      </w:tr>
    </w:tbl>
    <w:p>
      <w:pPr>
        <w:spacing w:after="0" w:before="0" w:line="60" w:lineRule="exact"/>
      </w:pPr>
      <w:r>
        <w:rPr>
          <w:sz w:val="6"/>
        </w:rPr>
      </w:r>
    </w:p>
    <w:p>
      <w:pPr>
        <w:pStyle w:val="Heading2"/>
      </w:pPr>
      <w:r>
        <w:t>7.2 Decisiones que deben cerrarse</w:t>
      </w:r>
    </w:p>
    <w:tbl>
      <w:tblPr>
        <w:tblW w:type="auto" w:w="0"/>
        <w:tblLayout w:type="fixed"/>
        <w:tblLook w:firstColumn="1" w:firstRow="1" w:lastColumn="0" w:lastRow="0" w:noHBand="0" w:noVBand="1" w:val="04A0"/>
      </w:tblPr>
      <w:tblGrid>
        <w:gridCol w:w="4176"/>
        <w:gridCol w:w="5328"/>
      </w:tblGrid>
      <w:tr>
        <w:trPr>
          <w:cantSplit/>
          <w:tblHeader/>
        </w:trPr>
        <w:tc>
          <w:tcPr>
            <w:tcW w:type="dxa" w:w="4176"/>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Decisión</w:t>
            </w:r>
          </w:p>
        </w:tc>
        <w:tc>
          <w:tcPr>
            <w:tcW w:type="dxa" w:w="5328"/>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Responsable y momento de resolución</w:t>
            </w:r>
          </w:p>
        </w:tc>
      </w:tr>
      <w:tr>
        <w:trPr>
          <w:cantSplit/>
        </w:trPr>
        <w:tc>
          <w:tcPr>
            <w:tcW w:type="dxa" w:w="417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Medio y momento de pago; validación y liquidación manual</w:t>
            </w:r>
          </w:p>
        </w:tc>
        <w:tc>
          <w:tcPr>
            <w:tcW w:type="dxa" w:w="532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Diego y Kevin con acuerdo del equipo; antes de cerrar las HU de registro de pagos. Confirmar medio, momento, quién valida, corte semanal, redondeo y reglas manuales de cancelación, reembolso y disputa. Ratificar la referencia de comisión 15 % y liquidación semanal.</w:t>
            </w:r>
          </w:p>
        </w:tc>
      </w:tr>
      <w:tr>
        <w:trPr>
          <w:cantSplit/>
        </w:trPr>
        <w:tc>
          <w:tcPr>
            <w:tcW w:type="dxa" w:w="417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Cobertura y condiciones del lugar de atención</w:t>
            </w:r>
          </w:p>
        </w:tc>
        <w:tc>
          <w:tcPr>
            <w:tcW w:type="dxa" w:w="532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Kevin y Paul; antes de convocar participantes al piloto.</w:t>
            </w:r>
          </w:p>
        </w:tc>
      </w:tr>
      <w:tr>
        <w:trPr>
          <w:cantSplit/>
        </w:trPr>
        <w:tc>
          <w:tcPr>
            <w:tcW w:type="dxa" w:w="417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Disponibilidad semanal y compromisos de sprint</w:t>
            </w:r>
          </w:p>
        </w:tc>
        <w:tc>
          <w:tcPr>
            <w:tcW w:type="dxa" w:w="532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Cada integrante y Diego; en la planificación de cada ciclo.</w:t>
            </w:r>
          </w:p>
        </w:tc>
      </w:tr>
      <w:tr>
        <w:trPr>
          <w:cantSplit/>
        </w:trPr>
        <w:tc>
          <w:tcPr>
            <w:tcW w:type="dxa" w:w="4176"/>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Evaluaciones y correspondencia con fases académicas</w:t>
            </w:r>
          </w:p>
        </w:tc>
        <w:tc>
          <w:tcPr>
            <w:tcW w:type="dxa" w:w="5328"/>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Diego con el profesor guía; confirmar hitos de evaluación sin alterar por suposición el horizonte de desarrollo de 16 semanas.</w:t>
            </w:r>
          </w:p>
        </w:tc>
      </w:tr>
      <w:tr>
        <w:trPr>
          <w:cantSplit/>
        </w:trPr>
        <w:tc>
          <w:tcPr>
            <w:tcW w:type="dxa" w:w="4176"/>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Umbrales no funcionales y evidencias de aceptación</w:t>
            </w:r>
          </w:p>
        </w:tc>
        <w:tc>
          <w:tcPr>
            <w:tcW w:type="dxa" w:w="5328"/>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Kevin, Paul y Daniel con el profesor guía; antes de las pruebas de aceptación.</w:t>
            </w:r>
          </w:p>
        </w:tc>
      </w:tr>
    </w:tbl>
    <w:p>
      <w:pPr>
        <w:spacing w:after="0" w:before="0" w:line="60" w:lineRule="exact"/>
      </w:pPr>
      <w:r>
        <w:rPr>
          <w:sz w:val="6"/>
        </w:rPr>
      </w:r>
    </w:p>
    <w:p>
      <w:pPr>
        <w:jc w:val="both"/>
      </w:pPr>
      <w:r>
        <w:t>La decisión documental CAM-04 se propaga a 00 y 03–15 y a las guías 2.4/2.6. Los documentos 01 y 02 no se modifican y deben conciliarse por sus autores. Los defectos, archivos de instalación ausentes y funciones manuales pendientes requieren trabajo técnico y evidencia; no se resuelven con esta edición. La revisión y aprobación del equipo y del docente se registrarán cuando ocurran.</w:t>
      </w:r>
    </w:p>
    <w:p>
      <w:pPr>
        <w:pStyle w:val="Heading1"/>
        <w:pageBreakBefore/>
      </w:pPr>
      <w:r>
        <w:t>8. Aprobación y referencias</w:t>
      </w:r>
    </w:p>
    <w:p>
      <w:pPr>
        <w:pStyle w:val="Heading2"/>
      </w:pPr>
      <w:r>
        <w:t>8.1 Aprobación del equipo</w:t>
      </w:r>
    </w:p>
    <w:p>
      <w:pPr>
        <w:jc w:val="both"/>
      </w:pPr>
      <w:r>
        <w:t>Mediante su aceptación, los integrantes acuerdan el propósito, alcance, responsabilidades y procedimiento de cambios aquí definidos. Las firmas y fechas se completarán después de la revisión. La aceptación interna no habilita por sí misma la operación comercial ni sustituye la evaluación académica.</w:t>
      </w:r>
    </w:p>
    <w:tbl>
      <w:tblPr>
        <w:tblW w:type="auto" w:w="0"/>
        <w:tblLayout w:type="fixed"/>
        <w:tblLook w:firstColumn="1" w:firstRow="1" w:lastColumn="0" w:lastRow="0" w:noHBand="0" w:noVBand="1" w:val="04A0"/>
      </w:tblPr>
      <w:tblGrid>
        <w:gridCol w:w="2880"/>
        <w:gridCol w:w="4320"/>
        <w:gridCol w:w="2304"/>
      </w:tblGrid>
      <w:tr>
        <w:trPr>
          <w:cantSplit/>
          <w:tblHeader/>
        </w:trPr>
        <w:tc>
          <w:tcPr>
            <w:tcW w:type="dxa" w:w="2880"/>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Nombre</w:t>
            </w:r>
          </w:p>
        </w:tc>
        <w:tc>
          <w:tcPr>
            <w:tcW w:type="dxa" w:w="4320"/>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Conformidad o firma</w:t>
            </w:r>
          </w:p>
        </w:tc>
        <w:tc>
          <w:tcPr>
            <w:tcW w:type="dxa" w:w="2304"/>
            <w:shd w:fill="DCE6F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sz w:val="19"/>
              </w:rPr>
              <w:t>Fecha</w:t>
            </w:r>
          </w:p>
        </w:tc>
      </w:tr>
      <w:tr>
        <w:trPr>
          <w:cantSplit/>
        </w:trPr>
        <w:tc>
          <w:tcPr>
            <w:tcW w:type="dxa" w:w="288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Diego Cortés</w:t>
            </w:r>
          </w:p>
        </w:tc>
        <w:tc>
          <w:tcPr>
            <w:tcW w:type="dxa" w:w="432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____________________</w:t>
            </w:r>
          </w:p>
        </w:tc>
        <w:tc>
          <w:tcPr>
            <w:tcW w:type="dxa" w:w="230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____________</w:t>
            </w:r>
          </w:p>
        </w:tc>
      </w:tr>
      <w:tr>
        <w:trPr>
          <w:cantSplit/>
        </w:trPr>
        <w:tc>
          <w:tcPr>
            <w:tcW w:type="dxa" w:w="288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Kevin Iturra</w:t>
            </w:r>
          </w:p>
        </w:tc>
        <w:tc>
          <w:tcPr>
            <w:tcW w:type="dxa" w:w="432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____________________</w:t>
            </w:r>
          </w:p>
        </w:tc>
        <w:tc>
          <w:tcPr>
            <w:tcW w:type="dxa" w:w="2304"/>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____________</w:t>
            </w:r>
          </w:p>
        </w:tc>
      </w:tr>
      <w:tr>
        <w:trPr>
          <w:cantSplit/>
        </w:trPr>
        <w:tc>
          <w:tcPr>
            <w:tcW w:type="dxa" w:w="288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Paul Carrillo</w:t>
            </w:r>
          </w:p>
        </w:tc>
        <w:tc>
          <w:tcPr>
            <w:tcW w:type="dxa" w:w="4320"/>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____________________</w:t>
            </w:r>
          </w:p>
        </w:tc>
        <w:tc>
          <w:tcPr>
            <w:tcW w:type="dxa" w:w="2304"/>
            <w:shd w:fill="F3F6FA"/>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____________</w:t>
            </w:r>
          </w:p>
        </w:tc>
      </w:tr>
      <w:tr>
        <w:trPr>
          <w:cantSplit/>
        </w:trPr>
        <w:tc>
          <w:tcPr>
            <w:tcW w:type="dxa" w:w="288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Daniel Elgueta</w:t>
            </w:r>
          </w:p>
        </w:tc>
        <w:tc>
          <w:tcPr>
            <w:tcW w:type="dxa" w:w="4320"/>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____________________</w:t>
            </w:r>
          </w:p>
        </w:tc>
        <w:tc>
          <w:tcPr>
            <w:tcW w:type="dxa" w:w="2304"/>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____________</w:t>
            </w:r>
          </w:p>
        </w:tc>
      </w:tr>
    </w:tbl>
    <w:p>
      <w:pPr>
        <w:spacing w:after="0" w:before="0" w:line="60" w:lineRule="exact"/>
      </w:pPr>
      <w:r>
        <w:rPr>
          <w:sz w:val="6"/>
        </w:rPr>
      </w:r>
    </w:p>
    <w:p>
      <w:pPr>
        <w:jc w:val="both"/>
      </w:pPr>
      <w:r>
        <w:t>Revisión académica, cuando corresponda: Aldo Martínez Órdenes. Observaciones y constancia de revisión: __________________________________________________________</w:t>
      </w:r>
    </w:p>
    <w:p>
      <w:pPr>
        <w:pStyle w:val="Heading2"/>
      </w:pPr>
      <w:r>
        <w:t>8.2 Referencias y documentos relacionados</w:t>
      </w:r>
    </w:p>
    <w:p>
      <w:pPr>
        <w:spacing w:after="120"/>
      </w:pPr>
      <w:r>
        <w:rPr>
          <w:sz w:val="18"/>
        </w:rPr>
        <w:t>[1] Project Management Institute. PMI Lexicon of Project Management Terms, versión 5.0. Definición de project charter. https://www.pmi.org/-/media/pmi/documents/registered/pdf/pmbok-standards/pmi-lexicon-pm-terms.pdf</w:t>
      </w:r>
    </w:p>
    <w:p>
      <w:pPr>
        <w:spacing w:after="120"/>
      </w:pPr>
      <w:r>
        <w:rPr>
          <w:sz w:val="18"/>
        </w:rPr>
        <w:t>[2] Schwaber, K. y Sutherland, J. (2020). La Guía Scrum. Duración de sprints, objetivos e incrementos. https://scrumguides.org/docs/scrumguide/v2020/2020-Scrum-Guide-Spanish-European.pdf</w:t>
      </w:r>
    </w:p>
    <w:p>
      <w:pPr>
        <w:spacing w:after="120"/>
      </w:pPr>
      <w:r>
        <w:rPr>
          <w:sz w:val="18"/>
        </w:rPr>
        <w:t>[3] Duoc UC. Guía 1. Definición Proyecto APT. Archivo 1.5, proporcionado al equipo. Antecedente académico; la presente revisión adopta la definición actual de 16 semanas de desarrollo del equipo.</w:t>
      </w:r>
    </w:p>
    <w:p>
      <w:pPr>
        <w:spacing w:after="120"/>
      </w:pPr>
      <w:r>
        <w:rPr>
          <w:sz w:val="18"/>
        </w:rPr>
        <w:t>[4] Duoc UC. Guía 2. Desarrollo Proyecto APT. Archivo 2.4, entregado al equipo. Avances, monitoreo y ajustes.</w:t>
      </w:r>
    </w:p>
    <w:p>
      <w:pPr>
        <w:spacing w:after="120"/>
      </w:pPr>
      <w:r>
        <w:rPr>
          <w:sz w:val="18"/>
        </w:rPr>
        <w:t>[5] Duoc UC. Guía 3. Informe final Proyecto APT. Archivo 2.6, entregado al equipo. Desarrollo, resultados y evidencias.</w:t>
      </w:r>
    </w:p>
    <w:p>
      <w:pPr>
        <w:spacing w:after="120"/>
      </w:pPr>
      <w:r>
        <w:rPr>
          <w:sz w:val="18"/>
        </w:rPr>
        <w:t>[6] Duoc UC. Presentación Proyecto APT. Archivo 3.3, entregado al equipo. Ajustes y presentación ante comisión.</w:t>
      </w:r>
    </w:p>
    <w:p>
      <w:pPr>
        <w:spacing w:after="120"/>
      </w:pPr>
      <w:r>
        <w:rPr>
          <w:sz w:val="18"/>
        </w:rPr>
        <w:t>[7] Anexo Artefactos y Documentos Solicitados por Metodología. Material académico proporcionado al equipo. Arquitectura, datos, UML, requisitos no funcionales, Docker, pruebas, innovación y README.</w:t>
      </w:r>
    </w:p>
    <w:p>
      <w:pPr>
        <w:spacing w:after="120"/>
      </w:pPr>
      <w:r>
        <w:rPr>
          <w:sz w:val="18"/>
        </w:rPr>
        <w:t>[8] Equipo Splash. Backlog v0.2, 5 de octubre de 2026, como antecedente. Catálogo vigente: 11 Product Backlog v0.7, CAM-04 del 21 de octubre de 2026. Mantiene 83 IDs e identifica criterios revisados y diagnóstico separado.</w:t>
      </w:r>
    </w:p>
    <w:p>
      <w:pPr>
        <w:spacing w:after="120"/>
      </w:pPr>
      <w:r>
        <w:rPr>
          <w:sz w:val="18"/>
        </w:rPr>
        <w:t>[9] Auditoria_Splash_doc-vs-app.pdf, 20 de octubre de 2026; académico 139ddb7 y app 932a4b0 más cambios locales. Las capturas de la revisión del 19 de octubre complementan la evidencia. Este lote no reejecuta código ni pruebas.</w:t>
      </w:r>
    </w:p>
    <w:p>
      <w:pPr>
        <w:jc w:val="both"/>
      </w:pPr>
      <w:r>
        <w:t>La estructura se orienta por la finalidad del project charter de PMI [1] y se adapta al contexto académico; no es una plantilla oficial de PMI o Scrum. Las referencias académicas se conservan como documentos de apoyo. Las fuentes web provienen de la versión anterior; esta revisión no declara una nueva consulta ni una aprobación del equipo o del docente.</w:t>
      </w:r>
    </w:p>
    <w:sectPr w:rsidR="00FC693F" w:rsidRPr="0006063C" w:rsidSect="00034616">
      <w:headerReference w:type="default" r:id="rId9"/>
      <w:footerReference w:type="default" r:id="rId10"/>
      <w:footerReference w:type="first" r:id="rId12"/>
      <w:footerReference w:type="even" r:id="rId13"/>
      <w:pgSz w:w="12240" w:h="15840"/>
      <w:pgMar w:top="1080" w:right="1152" w:bottom="936" w:left="1152"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SPL-ACT-001 · v1.2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SPL-ACT-001 · v1.2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SPL-ACT-001 · v1.2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76" w:val="right"/>
      </w:tabs>
      <w:pBdr>
        <w:bottom w:val="single" w:sz="4" w:color="000000"/>
      </w:pBdr>
    </w:pPr>
    <w:r>
      <w:drawing>
        <wp:inline xmlns:a="http://schemas.openxmlformats.org/drawingml/2006/main" xmlns:pic="http://schemas.openxmlformats.org/drawingml/2006/picture">
          <wp:extent cx="777240" cy="19431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777240" cy="194310"/>
                  </a:xfrm>
                  <a:prstGeom prst="rect"/>
                </pic:spPr>
              </pic:pic>
            </a:graphicData>
          </a:graphic>
        </wp:inline>
      </w:drawing>
    </w:r>
    <w:r>
      <w:rPr>
        <w:sz w:val="18"/>
      </w:rPr>
      <w:tab/>
      <w:t>Acta de constitución del proyecto Splash · Duoc UC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 Splash</dc:title>
  <dc:subject/>
  <dc:creator>Paul Carrillo; Diego Cortes; Kevin Iturra; Daniel Elgueta</dc:creator>
  <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