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de datos de Splash</w:t>
      </w:r>
    </w:p>
    <w:p>
      <w:pPr>
        <w:jc w:val="both"/>
      </w:pPr>
      <w:r>
        <w:t>Duoc UC Antonio Varas · Ingeniería en Informática · Capstone PTY4614 · 801-V</w:t>
      </w:r>
    </w:p>
    <w:p>
      <w:pPr>
        <w:jc w:val="left"/>
      </w:pPr>
      <w:r>
        <w:t>SPL-DAT-001 · Versión 0.7 · 19 de octubre de 2026</w:t>
        <w:br/>
        <w:t>Responsable: Daniel Elgueta · Revisión: Kevin Iturra y Diego Cortés</w:t>
        <w:br/>
        <w:t>Estado: Actualizado con el esquema real (commit 311ae43) y el modelo de pagos vigente</w:t>
      </w:r>
    </w:p>
    <w:p>
      <w:pPr>
        <w:jc w:val="both"/>
      </w:pPr>
      <w:r>
        <w:t>El modelo de datos de Splash se organiza en dos grupos: las entidades del servicio de lavado, que ya existen en el esquema actual, y las entidades de pagos y liquidaciones, que reemplazan a la billetera virtual descartada. Este documento describe el modelo al cierre del proyecto e indica los cambios necesarios para pasar del esquema actual a ese modelo. En el código, el rol del limpiador se llama LAVADOR.</w:t>
      </w:r>
    </w:p>
    <w:p>
      <w:pPr>
        <w:pStyle w:val="Heading1"/>
      </w:pPr>
      <w:r>
        <w:t>1 Entidades del servicio</w:t>
      </w:r>
    </w:p>
    <w:p>
      <w:r>
        <w:drawing>
          <wp:inline xmlns:a="http://schemas.openxmlformats.org/drawingml/2006/main" xmlns:pic="http://schemas.openxmlformats.org/drawingml/2006/picture">
            <wp:extent cx="5943600" cy="38074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figura1_servic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Figura 1. Entidades del servicio. PK identifica la clave primaria y FK una clave foránea. El lavado guarda una copia de la dirección para que editar una dirección guardada no altere el historial; el limpiador queda vacío hasta que alguien acepta la solicitud. Cada lavado admite como máximo una disputa.</w:t>
      </w:r>
    </w:p>
    <w:p>
      <w:pPr>
        <w:pStyle w:val="Heading2"/>
      </w:pPr>
      <w:r>
        <w:t>Esquema vigente y cambios hacia el modelo final</w:t>
      </w:r>
    </w:p>
    <w:p>
      <w:pPr>
        <w:jc w:val="both"/>
      </w:pPr>
      <w:r>
        <w:t>El esquema actual usa SQLite (archivo backend/dev.db) mediante Prisma 7.4.2 y está definido en backend/prisma/schema.prisma (commit 311ae43) con 13 modelos. Los tipos enumerados se guardan como texto, porque SQLite no los admite, y sus valores válidos se documentan en el esquema. PostgreSQL se usará al desplegar en producción (FA-07).</w:t>
      </w:r>
    </w:p>
    <w:p>
      <w:pPr>
        <w:jc w:val="both"/>
      </w:pPr>
      <w:r>
        <w:t>Para llegar al modelo final (HU-06.10): se eliminan Billetera y TransaccionBilletera; se crean Pago, Liquidacion, ItemLiquidacion y DatosBancarios; los montos pasan a pesos enteros; y se regenera la línea base de migraciones, porque el esquema actual se aplicó con prisma db push y su única migración no lo refleja. La base de datos se respalda antes de migrar.</w:t>
      </w:r>
    </w:p>
    <w:p>
      <w:pPr>
        <w:pStyle w:val="Heading1"/>
      </w:pPr>
      <w:r>
        <w:t>2 Entidades de pagos y liquidaciones</w:t>
      </w:r>
    </w:p>
    <w:p>
      <w:r>
        <w:drawing>
          <wp:inline xmlns:a="http://schemas.openxmlformats.org/drawingml/2006/main" xmlns:pic="http://schemas.openxmlformats.org/drawingml/2006/picture">
            <wp:extent cx="5943600" cy="3734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figura2_pag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Figura 2. Pagos y liquidaciones. Cada lavado tiene como máximo un pago, identificado por la referencia única de la pasarela. Cada semana se crea una liquidación por limpiador con un ítem por servicio confirmado o por compensación de cancelación. Las tablas nuevas se muestran en azul.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7704"/>
      </w:tblGrid>
      <w:tr>
        <w:trPr>
          <w:cantSplit/>
          <w:tblHeader/>
        </w:trPr>
        <w:tc>
          <w:tcPr>
            <w:tcW w:type="dxa" w:w="187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Regla de integridad</w:t>
            </w:r>
          </w:p>
        </w:tc>
        <w:tc>
          <w:tcPr>
            <w:tcW w:type="dxa" w:w="770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Aplicación al diseño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Montos exactos</w:t>
            </w:r>
          </w:p>
        </w:tc>
        <w:tc>
          <w:tcPr>
            <w:tcW w:type="dxa" w:w="770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Todos los montos se guardan en pesos enteros. Las tablas nuevas se crean así, y el precio y la comisión del lavado se migran desde números decimales.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Asignación única</w:t>
            </w:r>
          </w:p>
        </w:tc>
        <w:tc>
          <w:tcPr>
            <w:tcW w:type="dxa" w:w="770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Aceptar una solicitud actualiza el lavado solo si sigue en PENDIENTE, dentro de la transacción.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Pago único</w:t>
            </w:r>
          </w:p>
        </w:tc>
        <w:tc>
          <w:tcPr>
            <w:tcW w:type="dxa" w:w="770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La referencia de la pasarela es única: verificar dos veces el mismo pago no crea otro pago ni otra solicitud.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Conciliación</w:t>
            </w:r>
          </w:p>
        </w:tc>
        <w:tc>
          <w:tcPr>
            <w:tcW w:type="dxa" w:w="770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En cada pago, el monto cobrado es igual a lo reembolsado más el monto del limpiador más la comisión de Splash; al cancelar, el cargo se reparte en partes iguales entre ambos. La comisión de la pasarela es un costo de Splash.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Disputa</w:t>
            </w:r>
          </w:p>
        </w:tc>
        <w:tc>
          <w:tcPr>
            <w:tcW w:type="dxa" w:w="770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Un lavado en DISPUTADO no genera ítems de liquidación hasta resolverse; la resolución actualiza el pago y el estado del lavado.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Liquidación</w:t>
            </w:r>
          </w:p>
        </w:tc>
        <w:tc>
          <w:tcPr>
            <w:tcW w:type="dxa" w:w="770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Solo se liquida a limpiadores con al menos un servicio confirmado en el período; las compensaciones sin servicio se acumulan para la siguiente liquidación. Cada lavado aparece en una sola liquidación.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Datos sensibles</w:t>
            </w:r>
          </w:p>
        </w:tc>
        <w:tc>
          <w:tcPr>
            <w:tcW w:type="dxa" w:w="770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El número de cuenta bancaria solo es visible para Finanzas y Super admin, y se muestra enmascarado en los listados.</w:t>
            </w:r>
          </w:p>
        </w:tc>
      </w:tr>
    </w:tbl>
    <w:p>
      <w:pPr>
        <w:jc w:val="both"/>
      </w:pPr>
      <w:r/>
    </w:p>
    <w:p>
      <w:pPr>
        <w:pStyle w:val="Heading1"/>
      </w:pPr>
      <w:r>
        <w:t>3 Diccionario de datos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5544"/>
        <w:gridCol w:w="2016"/>
      </w:tblGrid>
      <w:tr>
        <w:trPr>
          <w:cantSplit/>
          <w:tblHeader/>
        </w:trPr>
        <w:tc>
          <w:tcPr>
            <w:tcW w:type="dxa" w:w="20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Entidad (tabla)</w:t>
            </w:r>
          </w:p>
        </w:tc>
        <w:tc>
          <w:tcPr>
            <w:tcW w:type="dxa" w:w="554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Campos clave y relaciones</w:t>
            </w:r>
          </w:p>
        </w:tc>
        <w:tc>
          <w:tcPr>
            <w:tcW w:type="dxa" w:w="20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HU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Usuario (usuarios)</w:t>
            </w:r>
          </w:p>
        </w:tc>
        <w:tc>
          <w:tcPr>
            <w:tcW w:type="dxa" w:w="554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Correo único, contraseña con hash bcrypt, nombre, teléfono, rol (CLIENTE, LAVADOR para el limpiador, ADMIN), subrol de administración, foto, token push, activo, verificado y calificación promedio.</w:t>
            </w:r>
          </w:p>
        </w:tc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EP-01; HU-02.5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PerfilLavador (perfiles_lavador)</w:t>
            </w:r>
          </w:p>
        </w:tc>
        <w:tc>
          <w:tcPr>
            <w:tcW w:type="dxa" w:w="554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Perfil del limpiador, uno a uno con Usuario: aprobado, disponible, cédula, antecedentes, ubicación actual y total de lavados.</w:t>
            </w:r>
          </w:p>
        </w:tc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HU-01.7, 04.6 y 08.3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Vehiculo (vehiculos)</w:t>
            </w:r>
          </w:p>
        </w:tc>
        <w:tc>
          <w:tcPr>
            <w:tcW w:type="dxa" w:w="554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Del cliente: patente, marca, modelo, tipo (AUTO, CAMIONETA o MOTO), color y año; borrado lógico.</w:t>
            </w:r>
          </w:p>
        </w:tc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HU-02.1 y 02.2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Direccion (direcciones)</w:t>
            </w:r>
          </w:p>
        </w:tc>
        <w:tc>
          <w:tcPr>
            <w:tcW w:type="dxa" w:w="554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Del cliente: alias, dirección y coordenadas; borrado lógico.</w:t>
            </w:r>
          </w:p>
        </w:tc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HU-02.4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Lavado (lavados)</w:t>
            </w:r>
          </w:p>
        </w:tc>
        <w:tc>
          <w:tcPr>
            <w:tcW w:type="dxa" w:w="554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Entidad central: código legible, cliente, limpiador (vacío hasta aceptar), vehículo, dirección guardada y copia de la dirección, coordenadas, tipo de vehículo y de lavado, fecha programada, precio, comisión, estado, fotos antes y después y notas.</w:t>
            </w:r>
          </w:p>
        </w:tc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EP-03, EP-04 y HU-05.2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Calificacion (calificaciones)</w:t>
            </w:r>
          </w:p>
        </w:tc>
        <w:tc>
          <w:tcPr>
            <w:tcW w:type="dxa" w:w="554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Lavado, quién califica, quién recibe, puntuación de 1 a 5 y comentario.</w:t>
            </w:r>
          </w:p>
        </w:tc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HU-07.1 y 07.2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Disputa (disputas)</w:t>
            </w:r>
          </w:p>
        </w:tc>
        <w:tc>
          <w:tcPr>
            <w:tcW w:type="dxa" w:w="554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Una por lavado: quién la reporta, motivo, estado (ABIERTA o RESUELTA), resolución y fecha.</w:t>
            </w:r>
          </w:p>
        </w:tc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HU-07.4 y 07.5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Notificacion (notificaciones)</w:t>
            </w:r>
          </w:p>
        </w:tc>
        <w:tc>
          <w:tcPr>
            <w:tcW w:type="dxa" w:w="554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Destinatario, título, cuerpo, tipo, leída y datos asociados.</w:t>
            </w:r>
          </w:p>
        </w:tc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HU-05.3 y 05.7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RegistroAuditoria (registros_auditoria)</w:t>
            </w:r>
          </w:p>
        </w:tc>
        <w:tc>
          <w:tcPr>
            <w:tcW w:type="dxa" w:w="554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Administrador, acción, entidad afectada, detalle y fecha.</w:t>
            </w:r>
          </w:p>
        </w:tc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HU-08.9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Pago (nueva)</w:t>
            </w:r>
          </w:p>
        </w:tc>
        <w:tc>
          <w:tcPr>
            <w:tcW w:type="dxa" w:w="554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Uno por lavado: referencia única de la pasarela, estado, monto, comisión de Splash, monto del limpiador, monto reembolsado, costo de la pasarela y fechas.</w:t>
            </w:r>
          </w:p>
        </w:tc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HU-06.1 a 06.4 y 06.8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Liquidacion (nueva)</w:t>
            </w:r>
          </w:p>
        </w:tc>
        <w:tc>
          <w:tcPr>
            <w:tcW w:type="dxa" w:w="554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Limpiador, inicio y fin del período, total, estado (PENDIENTE o PAGADA), referencia de la transferencia, administrador que la registró y fecha de pago.</w:t>
            </w:r>
          </w:p>
        </w:tc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HU-06.5 y 06.7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ItemLiquidacion (nueva)</w:t>
            </w:r>
          </w:p>
        </w:tc>
        <w:tc>
          <w:tcPr>
            <w:tcW w:type="dxa" w:w="554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Liquidación, lavado, tipo (SERVICIO o COMPENSACION) y monto.</w:t>
            </w:r>
          </w:p>
        </w:tc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HU-06.7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DatosBancarios (nueva)</w:t>
            </w:r>
          </w:p>
        </w:tc>
        <w:tc>
          <w:tcPr>
            <w:tcW w:type="dxa" w:w="554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Uno por limpiador: banco, tipo de cuenta, número de cuenta, RUT y titular.</w:t>
            </w:r>
          </w:p>
        </w:tc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HU-06.6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Billetera y TransaccionBilletera</w:t>
            </w:r>
          </w:p>
        </w:tc>
        <w:tc>
          <w:tcPr>
            <w:tcW w:type="dxa" w:w="554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Existen sin uso desde el 2 de octubre de 2026 y se eliminan al migrar.</w:t>
            </w:r>
          </w:p>
        </w:tc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HU-06.10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ProductoAprobado y Suscripcion</w:t>
            </w:r>
          </w:p>
        </w:tc>
        <w:tc>
          <w:tcPr>
            <w:tcW w:type="dxa" w:w="554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Permanecen en el esquema sin uso: corresponden a funciones fuera del alcance del semestre.</w:t>
            </w:r>
          </w:p>
        </w:tc>
        <w:tc>
          <w:tcPr>
            <w:tcW w:type="dxa" w:w="20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FA-02 y FA-03</w:t>
            </w:r>
          </w:p>
        </w:tc>
      </w:tr>
    </w:tbl>
    <w:p>
      <w:pPr>
        <w:jc w:val="both"/>
      </w:pPr>
      <w:r/>
    </w:p>
    <w:p>
      <w:pPr>
        <w:pStyle w:val="Heading2"/>
      </w:pPr>
      <w:r>
        <w:t>Referencias</w:t>
      </w:r>
    </w:p>
    <w:p>
      <w:pPr>
        <w:jc w:val="both"/>
      </w:pPr>
      <w:r>
        <w:t>Duoc UC. Anexo Artefactos y Documentos Solicitados por Metodología, pp. 1–3. Material del curso proporcionado al equipo.</w:t>
      </w:r>
    </w:p>
    <w:p>
      <w:pPr>
        <w:jc w:val="both"/>
      </w:pPr>
      <w:r>
        <w:t>Equipo Splash. Backlog Épicas HU FINAL, versión 0.7, 19 de octubre de 2026. 9 épicas y 83 historias de usuario.</w:t>
      </w:r>
    </w:p>
    <w:p>
      <w:pPr>
        <w:jc w:val="both"/>
      </w:pPr>
      <w:r>
        <w:t>Equipo Splash. Repositorio github.com/keiturra-ux/Splash, archivo backend/prisma/schema.prisma, commit 311ae43 (2 de octubre de 2026).</w:t>
      </w:r>
    </w:p>
    <w:p>
      <w:pPr>
        <w:jc w:val="both"/>
      </w:pPr>
      <w:r>
        <w:t>PostgreSQL. Constraints. https://www.postgresql.org/docs/current/ddl-constraints.html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SPL-DAT-001 · v0.7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731520" cy="182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/>
                </pic:spPr>
              </pic:pic>
            </a:graphicData>
          </a:graphic>
        </wp:inline>
      </w:drawing>
    </w:r>
    <w:r>
      <w:rPr>
        <w:sz w:val="18"/>
      </w:rPr>
      <w:t xml:space="preserve">     Splash  |  Documentación de fase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datos de Splash</dc:title>
  <dc:subject/>
  <dc:creator>Daniel Elgueta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