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keepLines/>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pPr>
              <w:keepNext w:val="0"/>
              <w:keepLines/>
              <w:spacing w:before="0" w:after="100" w:line="252" w:lineRule="auto"/>
              <w:jc w:val="left"/>
              <w:rPr>
                <w:rFonts w:ascii="Calibri" w:hAnsi="Calibri" w:cs="Arial"/>
                <w:i/>
                <w:color w:val="548DD4"/>
                <w:sz w:val="20"/>
                <w:szCs w:val="20"/>
                <w:lang w:eastAsia="es-CL"/>
              </w:rPr>
            </w:pPr>
            <w:r>
              <w:rPr>
                <w:rFonts w:ascii="Calibri" w:hAnsi="Calibri"/>
                <w:i w:val="0"/>
                <w:color w:val="000000"/>
                <w:sz w:val="20"/>
              </w:rPr>
              <w:t>Proyecto Splash · Ingeniería en Informática · Duoc UC, sede Antonio Varas · Sección 801-V · Profesor Aldo Martínez Órdenes. Splash se encuentra en desarrollo durante la fase 2. Buscamos conectar a clientes que solicitan lavado de vehículos a domicilio con prestadores que aceptan y realizan el servicio, mediante perfiles de cliente, lavador y administrador. El alcance considera solicitudes inmediatas y programadas, seguimiento GPS, evidencias, confirmación del servicio y gestión de pagos.</w:t>
            </w:r>
          </w:p>
          <w:p>
            <w:pPr>
              <w:keepNext w:val="0"/>
              <w:keepLines/>
              <w:spacing w:before="0" w:after="100" w:line="252" w:lineRule="auto"/>
              <w:jc w:val="left"/>
              <w:rPr>
                <w:rFonts w:ascii="Calibri" w:hAnsi="Calibri" w:cs="Arial"/>
                <w:i/>
                <w:color w:val="548DD4"/>
                <w:sz w:val="20"/>
                <w:szCs w:val="20"/>
                <w:lang w:eastAsia="es-CL"/>
              </w:rPr>
            </w:pPr>
            <w:r>
              <w:rPr>
                <w:rFonts w:ascii="Calibri" w:hAnsi="Calibri"/>
                <w:i w:val="0"/>
                <w:color w:val="000000"/>
                <w:sz w:val="20"/>
              </w:rPr>
              <w:t>Al 17 de octubre de 2026, consolidamos el alcance y actualizamos la documentación con el backlog v0.2: 83 historias de usuario en 9 épicas. Actualizamos requisitos, diagramas UML, backlog, propuesta de sprints, definición de terminado, plan de pruebas y matriz de trazabilidad. Estos avances permiten organizar el desarrollo y relacionar cada historia con sus criterios y pruebas.</w:t>
            </w:r>
          </w:p>
          <w:p>
            <w:pPr>
              <w:keepNext w:val="0"/>
              <w:keepLines/>
              <w:spacing w:before="0" w:after="100" w:line="252" w:lineRule="auto"/>
              <w:jc w:val="left"/>
              <w:rPr>
                <w:rFonts w:ascii="Calibri" w:hAnsi="Calibri" w:cs="Arial"/>
                <w:i/>
                <w:color w:val="548DD4"/>
                <w:sz w:val="20"/>
                <w:szCs w:val="20"/>
                <w:lang w:eastAsia="es-CL"/>
              </w:rPr>
            </w:pPr>
            <w:r>
              <w:rPr>
                <w:rFonts w:ascii="Calibri" w:hAnsi="Calibri"/>
                <w:i w:val="0"/>
                <w:color w:val="000000"/>
                <w:sz w:val="20"/>
              </w:rPr>
              <w:t>El backlog v0.2, fechado el 5 de octubre de 2026, reporta 17 historias HECHO, 39 PARCIAL, 25 PENDIENTE y 2 POR VERIFICAR. Son estados declarados por esa fuente; aún debemos contrastarlos con la versión integrada y registrar evidencia de ejecución. No equivalen a una aceptación final ni acreditan que la aplicación esté terminada.</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keepLines/>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pPr>
              <w:keepNext w:val="0"/>
              <w:keepLines/>
              <w:spacing w:before="0" w:after="100" w:line="252" w:lineRule="auto"/>
              <w:jc w:val="left"/>
              <w:rPr>
                <w:rFonts w:ascii="Calibri" w:hAnsi="Calibri" w:cs="Arial"/>
                <w:b/>
                <w:i/>
                <w:color w:val="548DD4"/>
                <w:sz w:val="20"/>
                <w:szCs w:val="20"/>
                <w:lang w:eastAsia="es-CL"/>
              </w:rPr>
            </w:pPr>
            <w:r>
              <w:rPr>
                <w:rFonts w:ascii="Calibri" w:hAnsi="Calibri"/>
                <w:i w:val="0"/>
                <w:color w:val="000000"/>
                <w:sz w:val="20"/>
              </w:rPr>
              <w:t>Objetivo general vigente: desarrollar e integrar una solución funcional de intermediación de lavado de vehículos que permita gestionar el proceso desde la solicitud hasta la confirmación y la liquidación al prestador, dentro del alcance académico.</w:t>
            </w:r>
          </w:p>
          <w:p>
            <w:pPr>
              <w:keepNext w:val="0"/>
              <w:keepLines/>
              <w:spacing w:before="0" w:after="100" w:line="252" w:lineRule="auto"/>
              <w:jc w:val="left"/>
              <w:rPr>
                <w:rFonts w:ascii="Calibri" w:hAnsi="Calibri" w:cs="Arial"/>
                <w:b/>
                <w:i/>
                <w:color w:val="548DD4"/>
                <w:sz w:val="20"/>
                <w:szCs w:val="20"/>
                <w:lang w:eastAsia="es-CL"/>
              </w:rPr>
            </w:pPr>
            <w:r>
              <w:rPr>
                <w:rFonts w:ascii="Calibri" w:hAnsi="Calibri"/>
                <w:i w:val="0"/>
                <w:color w:val="000000"/>
                <w:sz w:val="20"/>
              </w:rPr>
              <w:t>Objetivos específicos: habilitar los tres perfiles y sus permisos; integrar solicitudes, asignación y seguimiento; gestionar evidencias, confirmaciones y disputas; implementar y probar el flujo de pagos; verificar el funcionamiento y mantener su documentación trazable.</w:t>
            </w:r>
          </w:p>
          <w:p>
            <w:pPr>
              <w:keepNext w:val="0"/>
              <w:keepLines/>
              <w:spacing w:before="0" w:after="100" w:line="252" w:lineRule="auto"/>
              <w:jc w:val="left"/>
              <w:rPr>
                <w:rFonts w:ascii="Calibri" w:hAnsi="Calibri" w:cs="Arial"/>
                <w:b/>
                <w:i/>
                <w:color w:val="548DD4"/>
                <w:sz w:val="20"/>
                <w:szCs w:val="20"/>
                <w:lang w:eastAsia="es-CL"/>
              </w:rPr>
            </w:pPr>
            <w:r>
              <w:rPr>
                <w:rFonts w:ascii="Calibri" w:hAnsi="Calibri"/>
                <w:i w:val="0"/>
                <w:color w:val="000000"/>
                <w:sz w:val="20"/>
              </w:rPr>
              <w:t>Ajuste de alcance: adoptamos v0.2 con Mercado Pago en modo de prueba al solicitar el servicio, comisión Splash del 15 %, liquidación semanal por transferencia registrada manualmente y cancelaciones según la etapa. Sustituye el modelo anterior de transferencia del cliente al finalizar. La operación productiva queda fuera del semestre. Estos objetivos siguen en desarrollo y validación.</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keepLines/>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pPr>
              <w:keepNext w:val="0"/>
              <w:keepLines/>
              <w:spacing w:before="0" w:after="100" w:line="252" w:lineRule="auto"/>
              <w:jc w:val="left"/>
              <w:rPr>
                <w:rFonts w:ascii="Calibri" w:hAnsi="Calibri" w:cs="Arial"/>
                <w:i/>
                <w:color w:val="548DD4"/>
                <w:sz w:val="20"/>
                <w:szCs w:val="20"/>
                <w:lang w:eastAsia="es-CL"/>
              </w:rPr>
            </w:pPr>
            <w:r>
              <w:rPr>
                <w:rFonts w:ascii="Calibri" w:hAnsi="Calibri"/>
                <w:i w:val="0"/>
                <w:color w:val="000000"/>
                <w:sz w:val="20"/>
              </w:rPr>
              <w:t>Aplicamos un enfoque iterativo Scrumban, con backlog priorizado y tablero para visualizar tareas y bloqueos. La propuesta abarca 16 semanas relativas, distribuidas en 8 sprints de 2 semanas; su asignación es una planificación y debe actualizarse con el avance real.</w:t>
            </w:r>
          </w:p>
          <w:p>
            <w:pPr>
              <w:keepNext w:val="0"/>
              <w:keepLines/>
              <w:spacing w:before="0" w:after="100" w:line="252" w:lineRule="auto"/>
              <w:jc w:val="left"/>
              <w:rPr>
                <w:rFonts w:ascii="Calibri" w:hAnsi="Calibri" w:cs="Arial"/>
                <w:i/>
                <w:color w:val="548DD4"/>
                <w:sz w:val="20"/>
                <w:szCs w:val="20"/>
                <w:lang w:eastAsia="es-CL"/>
              </w:rPr>
            </w:pPr>
            <w:r>
              <w:rPr>
                <w:rFonts w:ascii="Calibri" w:hAnsi="Calibri"/>
                <w:i w:val="0"/>
                <w:color w:val="000000"/>
                <w:sz w:val="20"/>
              </w:rPr>
              <w:t>En cada ciclo seleccionaremos historias, desarrollaremos e integraremos cambios, ejecutaremos pruebas y revisaremos resultados y ajustes. Diego Cortés coordina e integra; Kevin Iturra desarrolla el frontend y revisa la funcionalidad; Paul Carrillo apoya documentación y backend; Daniel Elgueta apoya QA y documentación de pruebas. Todo el equipo participa en backend.</w:t>
            </w:r>
          </w:p>
          <w:p>
            <w:pPr>
              <w:keepNext w:val="0"/>
              <w:keepLines/>
              <w:spacing w:before="0" w:after="100" w:line="252" w:lineRule="auto"/>
              <w:jc w:val="left"/>
              <w:rPr>
                <w:rFonts w:ascii="Calibri" w:hAnsi="Calibri" w:cs="Arial"/>
                <w:i/>
                <w:color w:val="548DD4"/>
                <w:sz w:val="20"/>
                <w:szCs w:val="20"/>
                <w:lang w:eastAsia="es-CL"/>
              </w:rPr>
            </w:pPr>
            <w:r>
              <w:rPr>
                <w:rFonts w:ascii="Calibri" w:hAnsi="Calibri"/>
                <w:i w:val="0"/>
                <w:color w:val="000000"/>
                <w:sz w:val="20"/>
              </w:rPr>
              <w:t>El monitoreo utilizará criterios de aceptación y la Definition of Done. Conservaremos por separado el estado informado en v0.2 y la verificación actual. Las competencias de la tabla se describen por actividad y deben cotejarse con su denominación oficial en la asignatura.</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keepLines/>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pPr>
              <w:keepNext w:val="0"/>
              <w:keepLines/>
              <w:spacing w:before="0" w:after="100" w:line="252" w:lineRule="auto"/>
              <w:jc w:val="left"/>
              <w:rPr>
                <w:rFonts w:ascii="Calibri" w:hAnsi="Calibri" w:cs="Arial"/>
                <w:i/>
                <w:color w:val="548DD4"/>
                <w:sz w:val="20"/>
                <w:szCs w:val="20"/>
                <w:lang w:eastAsia="es-CL"/>
              </w:rPr>
            </w:pPr>
            <w:r>
              <w:rPr>
                <w:rFonts w:ascii="Calibri" w:hAnsi="Calibri"/>
                <w:i w:val="0"/>
                <w:color w:val="000000"/>
                <w:sz w:val="20"/>
              </w:rPr>
              <w:t>Evidencias documentales de referencia: Splash_Backlog_Epicas_HU_FINAL_v0.2.docx, con las 83 historias y sus criterios; 11_Product_Backlog.docx y 12_Sprint_Backlog_Plantilla.docx, que organizan prioridad, tareas y revisión propuesta en 16 semanas; 15_Matriz_de_trazabilidad_81_HU.docx, cuyo nombre histórico se conserva, pero cuyo contenido cubre 83 HU.</w:t>
            </w:r>
          </w:p>
          <w:p>
            <w:pPr>
              <w:keepNext w:val="0"/>
              <w:keepLines/>
              <w:spacing w:before="0" w:after="100" w:line="252" w:lineRule="auto"/>
              <w:jc w:val="left"/>
              <w:rPr>
                <w:rFonts w:ascii="Calibri" w:hAnsi="Calibri" w:cs="Arial"/>
                <w:i/>
                <w:color w:val="548DD4"/>
                <w:sz w:val="20"/>
                <w:szCs w:val="20"/>
                <w:lang w:eastAsia="es-CL"/>
              </w:rPr>
            </w:pPr>
            <w:r>
              <w:rPr>
                <w:rFonts w:ascii="Calibri" w:hAnsi="Calibri"/>
                <w:i w:val="0"/>
                <w:color w:val="000000"/>
                <w:sz w:val="20"/>
              </w:rPr>
              <w:t>También se consideran 03_Diagramas_UML.docx, con ocho diagramas; 04_Requisitos_no_funcionales.docx; 06_Plan_de_pruebas_y_resultados.docx y las fichas de prueba por criterio; 13_Definition_of_Done.docx y 00_Prioridades_y_control_documental.docx. Estos archivos se presentan como referencias para acompañar la entrega y no están incrustados en esta guía.</w:t>
            </w:r>
          </w:p>
          <w:p>
            <w:pPr>
              <w:keepNext w:val="0"/>
              <w:keepLines/>
              <w:spacing w:before="0" w:after="100" w:line="252" w:lineRule="auto"/>
              <w:jc w:val="left"/>
              <w:rPr>
                <w:rFonts w:ascii="Calibri" w:hAnsi="Calibri" w:cs="Arial"/>
                <w:i/>
                <w:color w:val="548DD4"/>
                <w:sz w:val="20"/>
                <w:szCs w:val="20"/>
                <w:lang w:eastAsia="es-CL"/>
              </w:rPr>
            </w:pPr>
            <w:r>
              <w:rPr>
                <w:rFonts w:ascii="Calibri" w:hAnsi="Calibri"/>
                <w:i w:val="0"/>
                <w:color w:val="000000"/>
                <w:sz w:val="20"/>
              </w:rPr>
              <w:t>La calidad se resguarda mediante criterios explícitos, permisos por rol, escenarios de error, trazabilidad y revisión del flujo de pagos, cancelaciones, reembolsos y liquidaciones. Debemos incorporar capturas fechadas, versión o commit probado, resultados, defectos y registro de correcciones. Las fichas preparadas no son pruebas ejecutadas; no se declara aprobado lo que aún no tiene evidencia.</w:t>
            </w:r>
          </w:p>
        </w:tc>
      </w:tr>
    </w:tbl>
    <w:p>
      <w:pPr>
        <w:pageBreakBefore/>
      </w:pPr>
    </w:p>
    <w:tbl>
      <w:tblPr>
        <w:tblStyle w:val="Tablaconcuadrcula"/>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pageBreakBefore w:val="0"/>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Ind w:w="-572" w:type="dxa"/>
      </w:tblPr>
      <w:tblGrid>
        <w:gridCol w:w="1368"/>
        <w:gridCol w:w="1181"/>
        <w:gridCol w:w="1224"/>
        <w:gridCol w:w="1123"/>
        <w:gridCol w:w="1325"/>
        <w:gridCol w:w="1195"/>
        <w:gridCol w:w="1238"/>
        <w:gridCol w:w="1123"/>
      </w:tblGrid>
      <w:tr w:rsidR="00FD5149" w:rsidRPr="006E3B0D" w14:paraId="66FA4353" w14:textId="77777777" w:rsidTr="00EA0C09">
        <w:trPr>
          <w:trHeight w:val="415"/>
          <w:tblHeader/>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blHeader/>
        </w:trPr>
        <w:tc>
          <w:tcPr>
            <w:tcW w:w="136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181"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24"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123"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32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195"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23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123"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cantSplit/>
        </w:trPr>
        <w:tc>
          <w:tcPr>
            <w:tcW w:w="1368" w:type="dxa"/>
          </w:tcPr>
          <w:p>
            <w:pPr>
              <w:keepNext w:val="0"/>
              <w:keepLines w:val="0"/>
              <w:spacing w:before="0" w:after="100" w:line="252" w:lineRule="auto"/>
              <w:jc w:val="left"/>
              <w:rPr>
                <w:b/>
                <w:sz w:val="18"/>
                <w:szCs w:val="24"/>
              </w:rPr>
            </w:pPr>
            <w:r>
              <w:rPr>
                <w:rFonts w:ascii="Calibri" w:hAnsi="Calibri"/>
                <w:i w:val="0"/>
                <w:color w:val="000000"/>
                <w:sz w:val="18"/>
              </w:rPr>
              <w:t>Analizar requisitos</w:t>
            </w:r>
          </w:p>
        </w:tc>
        <w:tc>
          <w:tcPr>
            <w:tcW w:w="1181"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Refinar 83 HU y alcance</w:t>
            </w:r>
          </w:p>
        </w:tc>
        <w:tc>
          <w:tcPr>
            <w:tcW w:w="1224" w:type="dxa"/>
          </w:tcPr>
          <w:p>
            <w:pPr>
              <w:keepNext w:val="0"/>
              <w:keepLines w:val="0"/>
              <w:spacing w:before="0" w:after="100" w:line="252" w:lineRule="auto"/>
              <w:jc w:val="left"/>
              <w:rPr>
                <w:b/>
                <w:sz w:val="18"/>
                <w:szCs w:val="24"/>
              </w:rPr>
            </w:pPr>
            <w:r>
              <w:rPr>
                <w:rFonts w:ascii="Calibri" w:hAnsi="Calibri"/>
                <w:i w:val="0"/>
                <w:color w:val="000000"/>
                <w:sz w:val="18"/>
              </w:rPr>
              <w:t>Backlog v0.2; equipo</w:t>
            </w:r>
          </w:p>
        </w:tc>
        <w:tc>
          <w:tcPr>
            <w:tcW w:w="1123" w:type="dxa"/>
          </w:tcPr>
          <w:p>
            <w:pPr>
              <w:keepNext w:val="0"/>
              <w:keepLines w:val="0"/>
              <w:spacing w:before="0" w:after="100" w:line="252" w:lineRule="auto"/>
              <w:jc w:val="left"/>
              <w:rPr>
                <w:b/>
                <w:sz w:val="18"/>
                <w:szCs w:val="24"/>
              </w:rPr>
            </w:pPr>
            <w:r>
              <w:rPr>
                <w:rFonts w:ascii="Calibri" w:hAnsi="Calibri"/>
                <w:i w:val="0"/>
                <w:color w:val="000000"/>
                <w:sz w:val="18"/>
              </w:rPr>
              <w:t>2 semanas; S1</w:t>
            </w:r>
          </w:p>
        </w:tc>
        <w:tc>
          <w:tcPr>
            <w:tcW w:w="1325"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Paul Carrillo; Kevin Iturra</w:t>
            </w:r>
          </w:p>
        </w:tc>
        <w:tc>
          <w:tcPr>
            <w:tcW w:w="1195"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Hay cambios de pagos.</w:t>
            </w:r>
          </w:p>
        </w:tc>
        <w:tc>
          <w:tcPr>
            <w:tcW w:w="1238"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Ajustada: base documental actualizada.</w:t>
            </w:r>
          </w:p>
        </w:tc>
        <w:tc>
          <w:tcPr>
            <w:tcW w:w="1123"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Revisar criterios.</w:t>
            </w:r>
          </w:p>
        </w:tc>
      </w:tr>
      <w:tr w:rsidR="00FD5149" w:rsidRPr="006E3B0D" w14:paraId="0D4FAAA2" w14:textId="77777777" w:rsidTr="00EA0C09">
        <w:trPr>
          <w:cantSplit/>
        </w:trPr>
        <w:tc>
          <w:tcPr>
            <w:tcW w:w="1368" w:type="dxa"/>
          </w:tcPr>
          <w:p>
            <w:pPr>
              <w:keepNext w:val="0"/>
              <w:keepLines w:val="0"/>
              <w:spacing w:before="0" w:after="100" w:line="252" w:lineRule="auto"/>
              <w:jc w:val="left"/>
              <w:rPr>
                <w:b/>
                <w:sz w:val="18"/>
                <w:szCs w:val="24"/>
              </w:rPr>
            </w:pPr>
            <w:r>
              <w:rPr>
                <w:rFonts w:ascii="Calibri" w:hAnsi="Calibri"/>
                <w:i w:val="0"/>
                <w:color w:val="000000"/>
                <w:sz w:val="18"/>
              </w:rPr>
              <w:t>Gestionar proyecto</w:t>
            </w:r>
          </w:p>
        </w:tc>
        <w:tc>
          <w:tcPr>
            <w:tcW w:w="1181"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Priorizar tareas y monitorear</w:t>
            </w:r>
          </w:p>
        </w:tc>
        <w:tc>
          <w:tcPr>
            <w:tcW w:w="1224" w:type="dxa"/>
          </w:tcPr>
          <w:p>
            <w:pPr>
              <w:keepNext w:val="0"/>
              <w:keepLines w:val="0"/>
              <w:spacing w:before="0" w:after="100" w:line="252" w:lineRule="auto"/>
              <w:jc w:val="left"/>
              <w:rPr>
                <w:b/>
                <w:sz w:val="18"/>
                <w:szCs w:val="24"/>
              </w:rPr>
            </w:pPr>
            <w:r>
              <w:rPr>
                <w:rFonts w:ascii="Calibri" w:hAnsi="Calibri"/>
                <w:i w:val="0"/>
                <w:color w:val="000000"/>
                <w:sz w:val="18"/>
              </w:rPr>
              <w:t>Notion; backlog; DoD</w:t>
            </w:r>
          </w:p>
        </w:tc>
        <w:tc>
          <w:tcPr>
            <w:tcW w:w="1123" w:type="dxa"/>
          </w:tcPr>
          <w:p>
            <w:pPr>
              <w:keepNext w:val="0"/>
              <w:keepLines w:val="0"/>
              <w:spacing w:before="0" w:after="100" w:line="252" w:lineRule="auto"/>
              <w:jc w:val="left"/>
              <w:rPr>
                <w:b/>
                <w:sz w:val="18"/>
                <w:szCs w:val="24"/>
              </w:rPr>
            </w:pPr>
            <w:r>
              <w:rPr>
                <w:rFonts w:ascii="Calibri" w:hAnsi="Calibri"/>
                <w:i w:val="0"/>
                <w:color w:val="000000"/>
                <w:sz w:val="18"/>
              </w:rPr>
              <w:t>16 semanas; S1–S8</w:t>
            </w:r>
          </w:p>
        </w:tc>
        <w:tc>
          <w:tcPr>
            <w:tcW w:w="1325"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Diego Cortés; Paul Carrillo</w:t>
            </w:r>
          </w:p>
        </w:tc>
        <w:tc>
          <w:tcPr>
            <w:tcW w:w="1195"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Capacidad del equipo por confirmar.</w:t>
            </w:r>
          </w:p>
        </w:tc>
        <w:tc>
          <w:tcPr>
            <w:tcW w:w="1238"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En curso; planificación propuesta.</w:t>
            </w:r>
          </w:p>
        </w:tc>
        <w:tc>
          <w:tcPr>
            <w:tcW w:w="1123"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Ajuste por ciclo.</w:t>
            </w:r>
          </w:p>
        </w:tc>
      </w:tr>
      <w:tr w:rsidR="00FD5149" w:rsidRPr="006E3B0D" w14:paraId="0D4FAAA2" w14:textId="77777777" w:rsidTr="00EA0C09">
        <w:trPr>
          <w:cantSplit/>
        </w:trPr>
        <w:tc>
          <w:tcPr>
            <w:tcW w:w="1368" w:type="dxa"/>
          </w:tcPr>
          <w:p>
            <w:pPr>
              <w:keepNext w:val="0"/>
              <w:keepLines w:val="0"/>
              <w:spacing w:before="0" w:after="100" w:line="252" w:lineRule="auto"/>
              <w:jc w:val="left"/>
              <w:rPr>
                <w:b/>
                <w:sz w:val="18"/>
                <w:szCs w:val="24"/>
              </w:rPr>
            </w:pPr>
            <w:r>
              <w:rPr>
                <w:rFonts w:ascii="Calibri" w:hAnsi="Calibri"/>
                <w:i w:val="0"/>
                <w:color w:val="000000"/>
                <w:sz w:val="18"/>
              </w:rPr>
              <w:t>Desarrollar software</w:t>
            </w:r>
          </w:p>
        </w:tc>
        <w:tc>
          <w:tcPr>
            <w:tcW w:w="1181"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Completar acceso y perfiles</w:t>
            </w:r>
          </w:p>
        </w:tc>
        <w:tc>
          <w:tcPr>
            <w:tcW w:w="1224" w:type="dxa"/>
          </w:tcPr>
          <w:p>
            <w:pPr>
              <w:keepNext w:val="0"/>
              <w:keepLines w:val="0"/>
              <w:spacing w:before="0" w:after="100" w:line="252" w:lineRule="auto"/>
              <w:jc w:val="left"/>
              <w:rPr>
                <w:b/>
                <w:sz w:val="18"/>
                <w:szCs w:val="24"/>
              </w:rPr>
            </w:pPr>
            <w:r>
              <w:rPr>
                <w:rFonts w:ascii="Calibri" w:hAnsi="Calibri"/>
                <w:i w:val="0"/>
                <w:color w:val="000000"/>
                <w:sz w:val="18"/>
              </w:rPr>
              <w:t>App; API; datos de prueba</w:t>
            </w:r>
          </w:p>
        </w:tc>
        <w:tc>
          <w:tcPr>
            <w:tcW w:w="1123" w:type="dxa"/>
          </w:tcPr>
          <w:p>
            <w:pPr>
              <w:keepNext w:val="0"/>
              <w:keepLines w:val="0"/>
              <w:spacing w:before="0" w:after="100" w:line="252" w:lineRule="auto"/>
              <w:jc w:val="left"/>
              <w:rPr>
                <w:b/>
                <w:sz w:val="18"/>
                <w:szCs w:val="24"/>
              </w:rPr>
            </w:pPr>
            <w:r>
              <w:rPr>
                <w:rFonts w:ascii="Calibri" w:hAnsi="Calibri"/>
                <w:i w:val="0"/>
                <w:color w:val="000000"/>
                <w:sz w:val="18"/>
              </w:rPr>
              <w:t>4 semanas; S1–S2</w:t>
            </w:r>
          </w:p>
        </w:tc>
        <w:tc>
          <w:tcPr>
            <w:tcW w:w="1325"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Kevin Iturra; equipo backend</w:t>
            </w:r>
          </w:p>
        </w:tc>
        <w:tc>
          <w:tcPr>
            <w:tcW w:w="1195"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Permisos y bloqueos incompletos.</w:t>
            </w:r>
          </w:p>
        </w:tc>
        <w:tc>
          <w:tcPr>
            <w:tcW w:w="1238"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En curso, según v0.2.</w:t>
            </w:r>
          </w:p>
        </w:tc>
        <w:tc>
          <w:tcPr>
            <w:tcW w:w="1123"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Roles y acceso.</w:t>
            </w:r>
          </w:p>
        </w:tc>
      </w:tr>
      <w:tr w:rsidR="00FD5149" w:rsidRPr="006E3B0D" w14:paraId="0D4FAAA2" w14:textId="77777777" w:rsidTr="00EA0C09">
        <w:trPr>
          <w:cantSplit/>
        </w:trPr>
        <w:tc>
          <w:tcPr>
            <w:tcW w:w="1368" w:type="dxa"/>
          </w:tcPr>
          <w:p>
            <w:pPr>
              <w:keepNext w:val="0"/>
              <w:keepLines w:val="0"/>
              <w:spacing w:before="0" w:after="100" w:line="252" w:lineRule="auto"/>
              <w:jc w:val="left"/>
              <w:rPr>
                <w:b/>
                <w:sz w:val="18"/>
                <w:szCs w:val="24"/>
              </w:rPr>
            </w:pPr>
            <w:r>
              <w:rPr>
                <w:rFonts w:ascii="Calibri" w:hAnsi="Calibri"/>
                <w:i w:val="0"/>
                <w:color w:val="000000"/>
                <w:sz w:val="18"/>
              </w:rPr>
              <w:t>Integrar sistemas</w:t>
            </w:r>
          </w:p>
        </w:tc>
        <w:tc>
          <w:tcPr>
            <w:tcW w:w="1181"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Integrar solicitud y pago previo</w:t>
            </w:r>
          </w:p>
        </w:tc>
        <w:tc>
          <w:tcPr>
            <w:tcW w:w="1224" w:type="dxa"/>
          </w:tcPr>
          <w:p>
            <w:pPr>
              <w:keepNext w:val="0"/>
              <w:keepLines w:val="0"/>
              <w:spacing w:before="0" w:after="100" w:line="252" w:lineRule="auto"/>
              <w:jc w:val="left"/>
              <w:rPr>
                <w:b/>
                <w:sz w:val="18"/>
                <w:szCs w:val="24"/>
              </w:rPr>
            </w:pPr>
            <w:r>
              <w:rPr>
                <w:rFonts w:ascii="Calibri" w:hAnsi="Calibri"/>
                <w:i w:val="0"/>
                <w:color w:val="000000"/>
                <w:sz w:val="18"/>
              </w:rPr>
              <w:t>App; API; Mercado Pago de prueba</w:t>
            </w:r>
          </w:p>
        </w:tc>
        <w:tc>
          <w:tcPr>
            <w:tcW w:w="1123" w:type="dxa"/>
          </w:tcPr>
          <w:p>
            <w:pPr>
              <w:keepNext w:val="0"/>
              <w:keepLines w:val="0"/>
              <w:spacing w:before="0" w:after="100" w:line="252" w:lineRule="auto"/>
              <w:jc w:val="left"/>
              <w:rPr>
                <w:b/>
                <w:sz w:val="18"/>
                <w:szCs w:val="24"/>
              </w:rPr>
            </w:pPr>
            <w:r>
              <w:rPr>
                <w:rFonts w:ascii="Calibri" w:hAnsi="Calibri"/>
                <w:i w:val="0"/>
                <w:color w:val="000000"/>
                <w:sz w:val="18"/>
              </w:rPr>
              <w:t>4 semanas; S3–S4</w:t>
            </w:r>
          </w:p>
        </w:tc>
        <w:tc>
          <w:tcPr>
            <w:tcW w:w="1325"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Diego Cortés; Kevin Iturra; equipo</w:t>
            </w:r>
          </w:p>
        </w:tc>
        <w:tc>
          <w:tcPr>
            <w:tcW w:w="1195"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Entorno de pago por confirmar.</w:t>
            </w:r>
          </w:p>
        </w:tc>
        <w:tc>
          <w:tcPr>
            <w:tcW w:w="1238"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No iniciado el nuevo flujo completo.</w:t>
            </w:r>
          </w:p>
        </w:tc>
        <w:tc>
          <w:tcPr>
            <w:tcW w:w="1123"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Pago único.</w:t>
            </w:r>
          </w:p>
        </w:tc>
      </w:tr>
      <w:tr w:rsidR="00FD5149" w:rsidRPr="006E3B0D" w14:paraId="0D4FAAA2" w14:textId="77777777" w:rsidTr="00EA0C09">
        <w:trPr>
          <w:cantSplit/>
        </w:trPr>
        <w:tc>
          <w:tcPr>
            <w:tcW w:w="1368" w:type="dxa"/>
          </w:tcPr>
          <w:p>
            <w:pPr>
              <w:keepNext w:val="0"/>
              <w:keepLines w:val="0"/>
              <w:spacing w:before="0" w:after="100" w:line="252" w:lineRule="auto"/>
              <w:jc w:val="left"/>
              <w:rPr>
                <w:b/>
                <w:sz w:val="18"/>
                <w:szCs w:val="24"/>
              </w:rPr>
            </w:pPr>
            <w:r>
              <w:rPr>
                <w:rFonts w:ascii="Calibri" w:hAnsi="Calibri"/>
                <w:i w:val="0"/>
                <w:color w:val="000000"/>
                <w:sz w:val="18"/>
              </w:rPr>
              <w:t>Desarrollar software</w:t>
            </w:r>
          </w:p>
        </w:tc>
        <w:tc>
          <w:tcPr>
            <w:tcW w:w="1181"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Completar GPS y atención</w:t>
            </w:r>
          </w:p>
        </w:tc>
        <w:tc>
          <w:tcPr>
            <w:tcW w:w="1224" w:type="dxa"/>
          </w:tcPr>
          <w:p>
            <w:pPr>
              <w:keepNext w:val="0"/>
              <w:keepLines w:val="0"/>
              <w:spacing w:before="0" w:after="100" w:line="252" w:lineRule="auto"/>
              <w:jc w:val="left"/>
              <w:rPr>
                <w:b/>
                <w:sz w:val="18"/>
                <w:szCs w:val="24"/>
              </w:rPr>
            </w:pPr>
            <w:r>
              <w:rPr>
                <w:rFonts w:ascii="Calibri" w:hAnsi="Calibri"/>
                <w:i w:val="0"/>
                <w:color w:val="000000"/>
                <w:sz w:val="18"/>
              </w:rPr>
              <w:t>GPS; app; API; evidencias</w:t>
            </w:r>
          </w:p>
        </w:tc>
        <w:tc>
          <w:tcPr>
            <w:tcW w:w="1123" w:type="dxa"/>
          </w:tcPr>
          <w:p>
            <w:pPr>
              <w:keepNext w:val="0"/>
              <w:keepLines w:val="0"/>
              <w:spacing w:before="0" w:after="100" w:line="252" w:lineRule="auto"/>
              <w:jc w:val="left"/>
              <w:rPr>
                <w:b/>
                <w:sz w:val="18"/>
                <w:szCs w:val="24"/>
              </w:rPr>
            </w:pPr>
            <w:r>
              <w:rPr>
                <w:rFonts w:ascii="Calibri" w:hAnsi="Calibri"/>
                <w:i w:val="0"/>
                <w:color w:val="000000"/>
                <w:sz w:val="18"/>
              </w:rPr>
              <w:t>4 semanas; S4–S5</w:t>
            </w:r>
          </w:p>
        </w:tc>
        <w:tc>
          <w:tcPr>
            <w:tcW w:w="1325"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Kevin Iturra; Diego Cortés; equipo</w:t>
            </w:r>
          </w:p>
        </w:tc>
        <w:tc>
          <w:tcPr>
            <w:tcW w:w="1195"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GPS y evidencias requieren integración.</w:t>
            </w:r>
          </w:p>
        </w:tc>
        <w:tc>
          <w:tcPr>
            <w:tcW w:w="1238"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En curso; flujo parcial reportado.</w:t>
            </w:r>
          </w:p>
        </w:tc>
        <w:tc>
          <w:tcPr>
            <w:tcW w:w="1123"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Validar estados.</w:t>
            </w:r>
          </w:p>
        </w:tc>
      </w:tr>
      <w:tr w:rsidR="00FD5149" w:rsidRPr="006E3B0D" w14:paraId="0D4FAAA2" w14:textId="77777777" w:rsidTr="00EA0C09">
        <w:trPr>
          <w:cantSplit/>
        </w:trPr>
        <w:tc>
          <w:tcPr>
            <w:tcW w:w="1368" w:type="dxa"/>
          </w:tcPr>
          <w:p>
            <w:pPr>
              <w:keepNext w:val="0"/>
              <w:keepLines w:val="0"/>
              <w:spacing w:before="0" w:after="100" w:line="252" w:lineRule="auto"/>
              <w:jc w:val="left"/>
              <w:rPr>
                <w:b/>
                <w:sz w:val="18"/>
                <w:szCs w:val="24"/>
              </w:rPr>
            </w:pPr>
            <w:r>
              <w:rPr>
                <w:rFonts w:ascii="Calibri" w:hAnsi="Calibri"/>
                <w:i w:val="0"/>
                <w:color w:val="000000"/>
                <w:sz w:val="18"/>
              </w:rPr>
              <w:t>Integrar sistemas</w:t>
            </w:r>
          </w:p>
        </w:tc>
        <w:tc>
          <w:tcPr>
            <w:tcW w:w="1181"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Gestionar cancelaciones y disputas</w:t>
            </w:r>
          </w:p>
        </w:tc>
        <w:tc>
          <w:tcPr>
            <w:tcW w:w="1224" w:type="dxa"/>
          </w:tcPr>
          <w:p>
            <w:pPr>
              <w:keepNext w:val="0"/>
              <w:keepLines w:val="0"/>
              <w:spacing w:before="0" w:after="100" w:line="252" w:lineRule="auto"/>
              <w:jc w:val="left"/>
              <w:rPr>
                <w:b/>
                <w:sz w:val="18"/>
                <w:szCs w:val="24"/>
              </w:rPr>
            </w:pPr>
            <w:r>
              <w:rPr>
                <w:rFonts w:ascii="Calibri" w:hAnsi="Calibri"/>
                <w:i w:val="0"/>
                <w:color w:val="000000"/>
                <w:sz w:val="18"/>
              </w:rPr>
              <w:t>Reglas v0.2; API; panel</w:t>
            </w:r>
          </w:p>
        </w:tc>
        <w:tc>
          <w:tcPr>
            <w:tcW w:w="1123" w:type="dxa"/>
          </w:tcPr>
          <w:p>
            <w:pPr>
              <w:keepNext w:val="0"/>
              <w:keepLines w:val="0"/>
              <w:spacing w:before="0" w:after="100" w:line="252" w:lineRule="auto"/>
              <w:jc w:val="left"/>
              <w:rPr>
                <w:b/>
                <w:sz w:val="18"/>
                <w:szCs w:val="24"/>
              </w:rPr>
            </w:pPr>
            <w:r>
              <w:rPr>
                <w:rFonts w:ascii="Calibri" w:hAnsi="Calibri"/>
                <w:i w:val="0"/>
                <w:color w:val="000000"/>
                <w:sz w:val="18"/>
              </w:rPr>
              <w:t>4 semanas; S5–S6</w:t>
            </w:r>
          </w:p>
        </w:tc>
        <w:tc>
          <w:tcPr>
            <w:tcW w:w="1325"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Diego Cortés; equipo backend</w:t>
            </w:r>
          </w:p>
        </w:tc>
        <w:tc>
          <w:tcPr>
            <w:tcW w:w="1195"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Faltan estados técnicos finales.</w:t>
            </w:r>
          </w:p>
        </w:tc>
        <w:tc>
          <w:tcPr>
            <w:tcW w:w="1238"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No iniciado el flujo completo v0.2.</w:t>
            </w:r>
          </w:p>
        </w:tc>
        <w:tc>
          <w:tcPr>
            <w:tcW w:w="1123"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Cargos por etapa.</w:t>
            </w:r>
          </w:p>
        </w:tc>
      </w:tr>
      <w:tr w:rsidR="00FD5149" w:rsidRPr="006E3B0D" w14:paraId="0D4FAAA2" w14:textId="77777777" w:rsidTr="00EA0C09">
        <w:trPr>
          <w:cantSplit/>
        </w:trPr>
        <w:tc>
          <w:tcPr>
            <w:tcW w:w="1368" w:type="dxa"/>
          </w:tcPr>
          <w:p>
            <w:pPr>
              <w:keepNext w:val="0"/>
              <w:keepLines w:val="0"/>
              <w:spacing w:before="0" w:after="100" w:line="252" w:lineRule="auto"/>
              <w:jc w:val="left"/>
              <w:rPr>
                <w:b/>
                <w:sz w:val="18"/>
                <w:szCs w:val="24"/>
              </w:rPr>
            </w:pPr>
            <w:r>
              <w:rPr>
                <w:rFonts w:ascii="Calibri" w:hAnsi="Calibri"/>
                <w:i w:val="0"/>
                <w:color w:val="000000"/>
                <w:sz w:val="18"/>
              </w:rPr>
              <w:t>Desarrollar software</w:t>
            </w:r>
          </w:p>
        </w:tc>
        <w:tc>
          <w:tcPr>
            <w:tcW w:w="1181"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Liquidar y conciliar pagos</w:t>
            </w:r>
          </w:p>
        </w:tc>
        <w:tc>
          <w:tcPr>
            <w:tcW w:w="1224" w:type="dxa"/>
          </w:tcPr>
          <w:p>
            <w:pPr>
              <w:keepNext w:val="0"/>
              <w:keepLines w:val="0"/>
              <w:spacing w:before="0" w:after="100" w:line="252" w:lineRule="auto"/>
              <w:jc w:val="left"/>
              <w:rPr>
                <w:b/>
                <w:sz w:val="18"/>
                <w:szCs w:val="24"/>
              </w:rPr>
            </w:pPr>
            <w:r>
              <w:rPr>
                <w:rFonts w:ascii="Calibri" w:hAnsi="Calibri"/>
                <w:i w:val="0"/>
                <w:color w:val="000000"/>
                <w:sz w:val="18"/>
              </w:rPr>
              <w:t>API; panel; datos bancarios de prueba</w:t>
            </w:r>
          </w:p>
        </w:tc>
        <w:tc>
          <w:tcPr>
            <w:tcW w:w="1123" w:type="dxa"/>
          </w:tcPr>
          <w:p>
            <w:pPr>
              <w:keepNext w:val="0"/>
              <w:keepLines w:val="0"/>
              <w:spacing w:before="0" w:after="100" w:line="252" w:lineRule="auto"/>
              <w:jc w:val="left"/>
              <w:rPr>
                <w:b/>
                <w:sz w:val="18"/>
                <w:szCs w:val="24"/>
              </w:rPr>
            </w:pPr>
            <w:r>
              <w:rPr>
                <w:rFonts w:ascii="Calibri" w:hAnsi="Calibri"/>
                <w:i w:val="0"/>
                <w:color w:val="000000"/>
                <w:sz w:val="18"/>
              </w:rPr>
              <w:t>2 semanas; S6</w:t>
            </w:r>
          </w:p>
        </w:tc>
        <w:tc>
          <w:tcPr>
            <w:tcW w:w="1325"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Diego Cortés; equipo backend</w:t>
            </w:r>
          </w:p>
        </w:tc>
        <w:tc>
          <w:tcPr>
            <w:tcW w:w="1195"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Corte semanal y redondeo pendientes.</w:t>
            </w:r>
          </w:p>
        </w:tc>
        <w:tc>
          <w:tcPr>
            <w:tcW w:w="1238"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No iniciado el nuevo flujo semanal.</w:t>
            </w:r>
          </w:p>
        </w:tc>
        <w:tc>
          <w:tcPr>
            <w:tcW w:w="1123"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Reparto 15/85.</w:t>
            </w:r>
          </w:p>
        </w:tc>
      </w:tr>
      <w:tr w:rsidR="00FD5149" w:rsidRPr="006E3B0D" w14:paraId="0D4FAAA2" w14:textId="77777777" w:rsidTr="00EA0C09">
        <w:trPr>
          <w:cantSplit/>
        </w:trPr>
        <w:tc>
          <w:tcPr>
            <w:tcW w:w="1368" w:type="dxa"/>
          </w:tcPr>
          <w:p>
            <w:pPr>
              <w:keepNext w:val="0"/>
              <w:keepLines w:val="0"/>
              <w:spacing w:before="0" w:after="100" w:line="252" w:lineRule="auto"/>
              <w:jc w:val="left"/>
              <w:rPr>
                <w:b/>
                <w:sz w:val="18"/>
                <w:szCs w:val="24"/>
              </w:rPr>
            </w:pPr>
            <w:r>
              <w:rPr>
                <w:rFonts w:ascii="Calibri" w:hAnsi="Calibri"/>
                <w:i w:val="0"/>
                <w:color w:val="000000"/>
                <w:sz w:val="18"/>
              </w:rPr>
              <w:t>Desarrollar interfaces</w:t>
            </w:r>
          </w:p>
        </w:tc>
        <w:tc>
          <w:tcPr>
            <w:tcW w:w="1181"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Ajustar panel y reportes</w:t>
            </w:r>
          </w:p>
        </w:tc>
        <w:tc>
          <w:tcPr>
            <w:tcW w:w="1224" w:type="dxa"/>
          </w:tcPr>
          <w:p>
            <w:pPr>
              <w:keepNext w:val="0"/>
              <w:keepLines w:val="0"/>
              <w:spacing w:before="0" w:after="100" w:line="252" w:lineRule="auto"/>
              <w:jc w:val="left"/>
              <w:rPr>
                <w:b/>
                <w:sz w:val="18"/>
                <w:szCs w:val="24"/>
              </w:rPr>
            </w:pPr>
            <w:r>
              <w:rPr>
                <w:rFonts w:ascii="Calibri" w:hAnsi="Calibri"/>
                <w:i w:val="0"/>
                <w:color w:val="000000"/>
                <w:sz w:val="18"/>
              </w:rPr>
              <w:t>Panel web; API; datos de prueba</w:t>
            </w:r>
          </w:p>
        </w:tc>
        <w:tc>
          <w:tcPr>
            <w:tcW w:w="1123" w:type="dxa"/>
          </w:tcPr>
          <w:p>
            <w:pPr>
              <w:keepNext w:val="0"/>
              <w:keepLines w:val="0"/>
              <w:spacing w:before="0" w:after="100" w:line="252" w:lineRule="auto"/>
              <w:jc w:val="left"/>
              <w:rPr>
                <w:b/>
                <w:sz w:val="18"/>
                <w:szCs w:val="24"/>
              </w:rPr>
            </w:pPr>
            <w:r>
              <w:rPr>
                <w:rFonts w:ascii="Calibri" w:hAnsi="Calibri"/>
                <w:i w:val="0"/>
                <w:color w:val="000000"/>
                <w:sz w:val="18"/>
              </w:rPr>
              <w:t>2 semanas; S7</w:t>
            </w:r>
          </w:p>
        </w:tc>
        <w:tc>
          <w:tcPr>
            <w:tcW w:w="1325"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Kevin Iturra; Diego Cortés; equipo</w:t>
            </w:r>
          </w:p>
        </w:tc>
        <w:tc>
          <w:tcPr>
            <w:tcW w:w="1195"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Hay módulos parciales.</w:t>
            </w:r>
          </w:p>
        </w:tc>
        <w:tc>
          <w:tcPr>
            <w:tcW w:w="1238"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En curso, según v0.2.</w:t>
            </w:r>
          </w:p>
        </w:tc>
        <w:tc>
          <w:tcPr>
            <w:tcW w:w="1123"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Permisos.</w:t>
            </w:r>
          </w:p>
        </w:tc>
      </w:tr>
      <w:tr w:rsidR="00FD5149" w:rsidRPr="006E3B0D" w14:paraId="0D4FAAA2" w14:textId="77777777" w:rsidTr="00EA0C09">
        <w:trPr>
          <w:cantSplit/>
        </w:trPr>
        <w:tc>
          <w:tcPr>
            <w:tcW w:w="1368" w:type="dxa"/>
          </w:tcPr>
          <w:p>
            <w:pPr>
              <w:keepNext w:val="0"/>
              <w:keepLines w:val="0"/>
              <w:spacing w:before="0" w:after="100" w:line="252" w:lineRule="auto"/>
              <w:jc w:val="left"/>
              <w:rPr>
                <w:b/>
                <w:sz w:val="18"/>
                <w:szCs w:val="24"/>
              </w:rPr>
            </w:pPr>
            <w:r>
              <w:rPr>
                <w:rFonts w:ascii="Calibri" w:hAnsi="Calibri"/>
                <w:i w:val="0"/>
                <w:color w:val="000000"/>
                <w:sz w:val="18"/>
              </w:rPr>
              <w:t>Asegurar calidad</w:t>
            </w:r>
          </w:p>
        </w:tc>
        <w:tc>
          <w:tcPr>
            <w:tcW w:w="1181"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Probar integración y regresión</w:t>
            </w:r>
          </w:p>
        </w:tc>
        <w:tc>
          <w:tcPr>
            <w:tcW w:w="1224" w:type="dxa"/>
          </w:tcPr>
          <w:p>
            <w:pPr>
              <w:keepNext w:val="0"/>
              <w:keepLines w:val="0"/>
              <w:spacing w:before="0" w:after="100" w:line="252" w:lineRule="auto"/>
              <w:jc w:val="left"/>
              <w:rPr>
                <w:b/>
                <w:sz w:val="18"/>
                <w:szCs w:val="24"/>
              </w:rPr>
            </w:pPr>
            <w:r>
              <w:rPr>
                <w:rFonts w:ascii="Calibri" w:hAnsi="Calibri"/>
                <w:i w:val="0"/>
                <w:color w:val="000000"/>
                <w:sz w:val="18"/>
              </w:rPr>
              <w:t>Plan; casos; capturas; defectos</w:t>
            </w:r>
          </w:p>
        </w:tc>
        <w:tc>
          <w:tcPr>
            <w:tcW w:w="1123" w:type="dxa"/>
          </w:tcPr>
          <w:p>
            <w:pPr>
              <w:keepNext w:val="0"/>
              <w:keepLines w:val="0"/>
              <w:spacing w:before="0" w:after="100" w:line="252" w:lineRule="auto"/>
              <w:jc w:val="left"/>
              <w:rPr>
                <w:b/>
                <w:sz w:val="18"/>
                <w:szCs w:val="24"/>
              </w:rPr>
            </w:pPr>
            <w:r>
              <w:rPr>
                <w:rFonts w:ascii="Calibri" w:hAnsi="Calibri"/>
                <w:i w:val="0"/>
                <w:color w:val="000000"/>
                <w:sz w:val="18"/>
              </w:rPr>
              <w:t>16 semanas; cierre S8</w:t>
            </w:r>
          </w:p>
        </w:tc>
        <w:tc>
          <w:tcPr>
            <w:tcW w:w="1325"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Daniel Elgueta; todo el equipo</w:t>
            </w:r>
          </w:p>
        </w:tc>
        <w:tc>
          <w:tcPr>
            <w:tcW w:w="1195"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Faltan resultados consolidados.</w:t>
            </w:r>
          </w:p>
        </w:tc>
        <w:tc>
          <w:tcPr>
            <w:tcW w:w="1238"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En curso; plan preparado.</w:t>
            </w:r>
          </w:p>
        </w:tc>
        <w:tc>
          <w:tcPr>
            <w:tcW w:w="1123"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Pruebas por ciclo.</w:t>
            </w:r>
          </w:p>
        </w:tc>
      </w:tr>
      <w:tr w:rsidR="00FD5149" w:rsidRPr="006E3B0D" w14:paraId="0D4FAAA2" w14:textId="77777777" w:rsidTr="00EA0C09">
        <w:trPr>
          <w:cantSplit/>
        </w:trPr>
        <w:tc>
          <w:tcPr>
            <w:tcW w:w="1368" w:type="dxa"/>
          </w:tcPr>
          <w:p>
            <w:pPr>
              <w:keepNext w:val="0"/>
              <w:keepLines w:val="0"/>
              <w:spacing w:before="0" w:after="100" w:line="252" w:lineRule="auto"/>
              <w:jc w:val="left"/>
              <w:rPr>
                <w:b/>
                <w:sz w:val="18"/>
                <w:szCs w:val="24"/>
              </w:rPr>
            </w:pPr>
            <w:r>
              <w:rPr>
                <w:rFonts w:ascii="Calibri" w:hAnsi="Calibri"/>
                <w:i w:val="0"/>
                <w:color w:val="000000"/>
                <w:sz w:val="18"/>
              </w:rPr>
              <w:t>Documentar soluciones</w:t>
            </w:r>
          </w:p>
        </w:tc>
        <w:tc>
          <w:tcPr>
            <w:tcW w:w="1181"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Actualizar documentación técnica</w:t>
            </w:r>
          </w:p>
        </w:tc>
        <w:tc>
          <w:tcPr>
            <w:tcW w:w="1224" w:type="dxa"/>
          </w:tcPr>
          <w:p>
            <w:pPr>
              <w:keepNext w:val="0"/>
              <w:keepLines w:val="0"/>
              <w:spacing w:before="0" w:after="100" w:line="252" w:lineRule="auto"/>
              <w:jc w:val="left"/>
              <w:rPr>
                <w:b/>
                <w:sz w:val="18"/>
                <w:szCs w:val="24"/>
              </w:rPr>
            </w:pPr>
            <w:r>
              <w:rPr>
                <w:rFonts w:ascii="Calibri" w:hAnsi="Calibri"/>
                <w:i w:val="0"/>
                <w:color w:val="000000"/>
                <w:sz w:val="18"/>
              </w:rPr>
              <w:t>Word; diagramas; repositorio</w:t>
            </w:r>
          </w:p>
        </w:tc>
        <w:tc>
          <w:tcPr>
            <w:tcW w:w="1123" w:type="dxa"/>
          </w:tcPr>
          <w:p>
            <w:pPr>
              <w:keepNext w:val="0"/>
              <w:keepLines w:val="0"/>
              <w:spacing w:before="0" w:after="100" w:line="252" w:lineRule="auto"/>
              <w:jc w:val="left"/>
              <w:rPr>
                <w:b/>
                <w:sz w:val="18"/>
                <w:szCs w:val="24"/>
              </w:rPr>
            </w:pPr>
            <w:r>
              <w:rPr>
                <w:rFonts w:ascii="Calibri" w:hAnsi="Calibri"/>
                <w:i w:val="0"/>
                <w:color w:val="000000"/>
                <w:sz w:val="18"/>
              </w:rPr>
              <w:t>16 semanas; S1–S8</w:t>
            </w:r>
          </w:p>
        </w:tc>
        <w:tc>
          <w:tcPr>
            <w:tcW w:w="1325"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Paul Carrillo; Daniel Elgueta; equipo</w:t>
            </w:r>
          </w:p>
        </w:tc>
        <w:tc>
          <w:tcPr>
            <w:tcW w:w="1195"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Arquitectura y BD dependen de sus autores.</w:t>
            </w:r>
          </w:p>
        </w:tc>
        <w:tc>
          <w:tcPr>
            <w:tcW w:w="1238"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En curso; documentos actualizados.</w:t>
            </w:r>
          </w:p>
        </w:tc>
        <w:tc>
          <w:tcPr>
            <w:tcW w:w="1123"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Alinear modelos.</w:t>
            </w:r>
          </w:p>
        </w:tc>
      </w:tr>
      <w:tr w:rsidR="00FD5149" w:rsidRPr="006E3B0D" w14:paraId="0D4FAAA2" w14:textId="77777777" w:rsidTr="00EA0C09">
        <w:trPr>
          <w:cantSplit/>
        </w:trPr>
        <w:tc>
          <w:tcPr>
            <w:tcW w:w="1368" w:type="dxa"/>
          </w:tcPr>
          <w:p>
            <w:pPr>
              <w:keepNext w:val="0"/>
              <w:keepLines w:val="0"/>
              <w:spacing w:before="0" w:after="100" w:line="252" w:lineRule="auto"/>
              <w:jc w:val="left"/>
              <w:rPr>
                <w:b/>
                <w:sz w:val="18"/>
                <w:szCs w:val="24"/>
              </w:rPr>
            </w:pPr>
            <w:r>
              <w:rPr>
                <w:rFonts w:ascii="Calibri" w:hAnsi="Calibri"/>
                <w:i w:val="0"/>
                <w:color w:val="000000"/>
                <w:sz w:val="18"/>
              </w:rPr>
              <w:t>Validar solución</w:t>
            </w:r>
          </w:p>
        </w:tc>
        <w:tc>
          <w:tcPr>
            <w:tcW w:w="1181"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Preparar demostración y revisión</w:t>
            </w:r>
          </w:p>
        </w:tc>
        <w:tc>
          <w:tcPr>
            <w:tcW w:w="1224" w:type="dxa"/>
          </w:tcPr>
          <w:p>
            <w:pPr>
              <w:keepNext w:val="0"/>
              <w:keepLines w:val="0"/>
              <w:spacing w:before="0" w:after="100" w:line="252" w:lineRule="auto"/>
              <w:jc w:val="left"/>
              <w:rPr>
                <w:b/>
                <w:sz w:val="18"/>
                <w:szCs w:val="24"/>
              </w:rPr>
            </w:pPr>
            <w:r>
              <w:rPr>
                <w:rFonts w:ascii="Calibri" w:hAnsi="Calibri"/>
                <w:i w:val="0"/>
                <w:color w:val="000000"/>
                <w:sz w:val="18"/>
              </w:rPr>
              <w:t>Entorno de prueba; informe; docente</w:t>
            </w:r>
          </w:p>
        </w:tc>
        <w:tc>
          <w:tcPr>
            <w:tcW w:w="1123" w:type="dxa"/>
          </w:tcPr>
          <w:p>
            <w:pPr>
              <w:keepNext w:val="0"/>
              <w:keepLines w:val="0"/>
              <w:spacing w:before="0" w:after="100" w:line="252" w:lineRule="auto"/>
              <w:jc w:val="left"/>
              <w:rPr>
                <w:b/>
                <w:sz w:val="18"/>
                <w:szCs w:val="24"/>
              </w:rPr>
            </w:pPr>
            <w:r>
              <w:rPr>
                <w:rFonts w:ascii="Calibri" w:hAnsi="Calibri"/>
                <w:i w:val="0"/>
                <w:color w:val="000000"/>
                <w:sz w:val="18"/>
              </w:rPr>
              <w:t>2 semanas; S8</w:t>
            </w:r>
          </w:p>
        </w:tc>
        <w:tc>
          <w:tcPr>
            <w:tcW w:w="1325"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Diego Cortés; todo el equipo</w:t>
            </w:r>
          </w:p>
        </w:tc>
        <w:tc>
          <w:tcPr>
            <w:tcW w:w="1195"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Cobertura del piloto aún sin definir.</w:t>
            </w:r>
          </w:p>
        </w:tc>
        <w:tc>
          <w:tcPr>
            <w:tcW w:w="1238"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No iniciado el cierre de validación.</w:t>
            </w:r>
          </w:p>
        </w:tc>
        <w:tc>
          <w:tcPr>
            <w:tcW w:w="1123" w:type="dxa"/>
          </w:tcPr>
          <w:p>
            <w:pPr>
              <w:keepNext w:val="0"/>
              <w:keepLines w:val="0"/>
              <w:spacing w:before="0" w:after="100" w:line="252" w:lineRule="auto"/>
              <w:jc w:val="left"/>
              <w:rPr>
                <w:rFonts w:ascii="Calibri" w:hAnsi="Calibri" w:cs="Arial"/>
                <w:i/>
                <w:color w:val="548DD4"/>
                <w:sz w:val="18"/>
                <w:szCs w:val="20"/>
                <w:lang w:eastAsia="es-CL"/>
              </w:rPr>
            </w:pPr>
            <w:r>
              <w:rPr>
                <w:rFonts w:ascii="Calibri" w:hAnsi="Calibri"/>
                <w:i w:val="0"/>
                <w:color w:val="000000"/>
                <w:sz w:val="18"/>
              </w:rPr>
              <w:t>Registrar brechas.</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963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Ind w:w="-572" w:type="dxa"/>
      </w:tblPr>
      <w:tblGrid>
        <w:gridCol w:w="9639"/>
      </w:tblGrid>
      <w:tr w:rsidR="0003309E" w14:paraId="5B12D08B" w14:textId="77777777" w:rsidTr="00C5122E">
        <w:trPr/>
        <w:tc>
          <w:tcPr>
            <w:tcW w:w="9639" w:type="dxa"/>
            <w:vAlign w:val="center"/>
          </w:tcPr>
          <w:p>
            <w:pPr>
              <w:keepNext/>
              <w:keepLines/>
              <w:spacing w:before="0" w:after="100" w:line="252" w:lineRule="auto"/>
              <w:jc w:val="left"/>
              <w:rPr>
                <w:rFonts w:ascii="Calibri" w:hAnsi="Calibri" w:cs="Arial"/>
                <w:i/>
                <w:iCs/>
                <w:color w:val="548DD4"/>
                <w:sz w:val="20"/>
                <w:szCs w:val="20"/>
                <w:lang w:eastAsia="es-CL"/>
              </w:rPr>
            </w:pPr>
            <w:r>
              <w:rPr>
                <w:rFonts w:ascii="Calibri" w:hAnsi="Calibri"/>
                <w:b/>
                <w:i w:val="0"/>
                <w:color w:val="000000"/>
                <w:sz w:val="20"/>
              </w:rPr>
              <w:t>Factores que han facilitado y/o dificultado el desarrollo de mi plan de trabajo</w:t>
            </w:r>
          </w:p>
          <w:p>
            <w:pPr>
              <w:keepNext w:val="0"/>
              <w:keepLines/>
              <w:spacing w:before="0" w:after="100" w:line="252" w:lineRule="auto"/>
              <w:jc w:val="left"/>
              <w:rPr>
                <w:rFonts w:ascii="Calibri" w:hAnsi="Calibri" w:cs="Arial"/>
                <w:i/>
                <w:iCs/>
                <w:color w:val="548DD4"/>
                <w:sz w:val="20"/>
                <w:szCs w:val="20"/>
                <w:lang w:eastAsia="es-CL"/>
              </w:rPr>
            </w:pPr>
            <w:r>
              <w:rPr>
                <w:rFonts w:ascii="Calibri" w:hAnsi="Calibri"/>
                <w:i w:val="0"/>
                <w:color w:val="000000"/>
                <w:sz w:val="20"/>
              </w:rPr>
              <w:t>Facilitadores: contamos con un equipo de cuatro integrantes con funciones definidas, un backlog detallado y una base de aplicación con avances reportados. La actualización documental permite identificar dependencias y preparar tareas y pruebas sin partir desde cero.</w:t>
            </w:r>
          </w:p>
          <w:p>
            <w:pPr>
              <w:keepNext w:val="0"/>
              <w:keepLines/>
              <w:spacing w:before="0" w:after="100" w:line="252" w:lineRule="auto"/>
              <w:jc w:val="left"/>
              <w:rPr>
                <w:rFonts w:ascii="Calibri" w:hAnsi="Calibri" w:cs="Arial"/>
                <w:i/>
                <w:iCs/>
                <w:color w:val="548DD4"/>
                <w:sz w:val="20"/>
                <w:szCs w:val="20"/>
                <w:lang w:eastAsia="es-CL"/>
              </w:rPr>
            </w:pPr>
            <w:r>
              <w:rPr>
                <w:rFonts w:ascii="Calibri" w:hAnsi="Calibri"/>
                <w:i w:val="0"/>
                <w:color w:val="000000"/>
                <w:sz w:val="20"/>
              </w:rPr>
              <w:t>Dificultades: el cambio del modelo de cobro afecta solicitudes, cancelaciones, finanzas y pruebas. Además, existen funcionalidades parciales y falta evidencia actual de integración. Como respuesta, adoptamos v0.2 como referencia, ajustamos los documentos y priorizamos verificar pagos y estados antes de validar liquidaciones.</w:t>
            </w:r>
          </w:p>
          <w:p>
            <w:pPr>
              <w:keepNext w:val="0"/>
              <w:keepLines/>
              <w:spacing w:before="0" w:after="100" w:line="252" w:lineRule="auto"/>
              <w:jc w:val="left"/>
              <w:rPr>
                <w:rFonts w:ascii="Calibri" w:hAnsi="Calibri" w:cs="Arial"/>
                <w:i/>
                <w:iCs/>
                <w:color w:val="548DD4"/>
                <w:sz w:val="20"/>
                <w:szCs w:val="20"/>
                <w:lang w:eastAsia="es-CL"/>
              </w:rPr>
            </w:pPr>
            <w:r>
              <w:rPr>
                <w:rFonts w:ascii="Calibri" w:hAnsi="Calibri"/>
                <w:i w:val="0"/>
                <w:color w:val="000000"/>
                <w:sz w:val="20"/>
              </w:rPr>
              <w:t>El uso de recursos gratuitos limita el entorno disponible. Debemos confirmar la integración de prueba de Mercado Pago, definir el corte semanal y redondeo, resolver estados técnicos y coordinar arquitectura y base de datos con sus responsables. La cobertura comunal del piloto y los requisitos operativos siguen pendientes de definición.</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963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Ind w:w="-572" w:type="dxa"/>
      </w:tblPr>
      <w:tblGrid>
        <w:gridCol w:w="9639"/>
      </w:tblGrid>
      <w:tr w:rsidR="0003309E" w:rsidRPr="00711C16" w14:paraId="56B8FCE9" w14:textId="77777777" w:rsidTr="00C5122E">
        <w:trPr/>
        <w:tc>
          <w:tcPr>
            <w:tcW w:w="9639" w:type="dxa"/>
            <w:vAlign w:val="center"/>
          </w:tcPr>
          <w:p>
            <w:pPr>
              <w:keepNext/>
              <w:keepLines/>
              <w:spacing w:before="0" w:after="100" w:line="252" w:lineRule="auto"/>
              <w:jc w:val="left"/>
              <w:rPr>
                <w:rFonts w:ascii="Calibri" w:hAnsi="Calibri" w:cs="Arial"/>
                <w:i/>
                <w:color w:val="548DD4"/>
                <w:sz w:val="20"/>
                <w:szCs w:val="20"/>
                <w:lang w:eastAsia="es-CL"/>
              </w:rPr>
            </w:pPr>
            <w:r>
              <w:rPr>
                <w:rFonts w:ascii="Calibri" w:hAnsi="Calibri"/>
                <w:b/>
                <w:i w:val="0"/>
                <w:color w:val="000000"/>
                <w:sz w:val="20"/>
              </w:rPr>
              <w:t>Actividades ajustadas o eliminadas</w:t>
            </w:r>
          </w:p>
          <w:p>
            <w:pPr>
              <w:keepNext w:val="0"/>
              <w:keepLines/>
              <w:spacing w:before="0" w:after="100" w:line="252" w:lineRule="auto"/>
              <w:jc w:val="left"/>
              <w:rPr>
                <w:rFonts w:ascii="Calibri" w:hAnsi="Calibri" w:cs="Arial"/>
                <w:i/>
                <w:color w:val="548DD4"/>
                <w:sz w:val="20"/>
                <w:szCs w:val="20"/>
                <w:lang w:eastAsia="es-CL"/>
              </w:rPr>
            </w:pPr>
            <w:r>
              <w:rPr>
                <w:rFonts w:ascii="Calibri" w:hAnsi="Calibri"/>
                <w:i w:val="0"/>
                <w:color w:val="000000"/>
                <w:sz w:val="20"/>
              </w:rPr>
              <w:t>Reemplazamos el cobro por transferencia del cliente al finalizar por el pago con Mercado Pago de prueba al solicitar. La solicitud solo debe crearse cuando el backend confirme el pago aprobado. La consulta activa del pago sustituye los webhooks, excluidos del semestre.</w:t>
            </w:r>
          </w:p>
          <w:p>
            <w:pPr>
              <w:keepNext w:val="0"/>
              <w:keepLines/>
              <w:spacing w:before="0" w:after="100" w:line="252" w:lineRule="auto"/>
              <w:jc w:val="left"/>
              <w:rPr>
                <w:rFonts w:ascii="Calibri" w:hAnsi="Calibri" w:cs="Arial"/>
                <w:i/>
                <w:color w:val="548DD4"/>
                <w:sz w:val="20"/>
                <w:szCs w:val="20"/>
                <w:lang w:eastAsia="es-CL"/>
              </w:rPr>
            </w:pPr>
            <w:r>
              <w:rPr>
                <w:rFonts w:ascii="Calibri" w:hAnsi="Calibri"/>
                <w:i w:val="0"/>
                <w:color w:val="000000"/>
                <w:sz w:val="20"/>
              </w:rPr>
              <w:t>Ajustamos la comisión a 15 % para Splash y 85 % para el lavador; el costo de Mercado Pago lo asume Splash. La liquidación pasa a ser semanal y su transferencia se registra manualmente. Debemos definir día, hora de corte y redondeo; no mantenemos el compromiso anterior de lunes y jueves.</w:t>
            </w:r>
          </w:p>
          <w:p>
            <w:pPr>
              <w:keepNext w:val="0"/>
              <w:keepLines/>
              <w:spacing w:before="0" w:after="100" w:line="252" w:lineRule="auto"/>
              <w:jc w:val="left"/>
              <w:rPr>
                <w:rFonts w:ascii="Calibri" w:hAnsi="Calibri" w:cs="Arial"/>
                <w:i/>
                <w:color w:val="548DD4"/>
                <w:sz w:val="20"/>
                <w:szCs w:val="20"/>
                <w:lang w:eastAsia="es-CL"/>
              </w:rPr>
            </w:pPr>
            <w:r>
              <w:rPr>
                <w:rFonts w:ascii="Calibri" w:hAnsi="Calibri"/>
                <w:i w:val="0"/>
                <w:color w:val="000000"/>
                <w:sz w:val="20"/>
              </w:rPr>
              <w:t>El alcance incorpora cancelaciones por etapa: 0 % en PENDIENTE, 15 % en ACEPTADO, 25 % en EN_CAMINO y 40 % en LLEGÓ. Desde EN_PROCESO no se permite cancelar. El cargo se reparte 50/50 entre Splash y el lavador; si cancela el lavador antes de iniciar, corresponde reembolso total. Las disputas excluyen temporalmente el servicio de la liquidación.</w:t>
            </w:r>
          </w:p>
          <w:p>
            <w:pPr>
              <w:keepNext w:val="0"/>
              <w:keepLines/>
              <w:spacing w:before="0" w:after="100" w:line="252" w:lineRule="auto"/>
              <w:jc w:val="left"/>
              <w:rPr>
                <w:rFonts w:ascii="Calibri" w:hAnsi="Calibri" w:cs="Arial"/>
                <w:i/>
                <w:color w:val="548DD4"/>
                <w:sz w:val="20"/>
                <w:szCs w:val="20"/>
                <w:lang w:eastAsia="es-CL"/>
              </w:rPr>
            </w:pPr>
            <w:r>
              <w:rPr>
                <w:rFonts w:ascii="Calibri" w:hAnsi="Calibri"/>
                <w:i w:val="0"/>
                <w:color w:val="000000"/>
                <w:sz w:val="20"/>
              </w:rPr>
              <w:t>Planificamos retirar la billetera propia y migrar sus datos al nuevo modelo. Mercado Pago productivo, transferencias automáticas, suscripciones, productos, quiz, verificación formal de antecedentes, acceso con Google, migración a PostgreSQL, despliegue productivo y recurrencia quedan fuera del semestre. HU-06.9, confirmación automática a las 48 horas, conserva prioridad opcional. Estos ajustes concentran el esfuerzo en el flujo académico verificable.</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rsidRPr="00711C16" w14:paraId="2284498D" w14:textId="77777777" w:rsidTr="00C5122E">
        <w:trPr/>
        <w:tc>
          <w:tcPr>
            <w:tcW w:w="9639" w:type="dxa"/>
            <w:vAlign w:val="center"/>
          </w:tcPr>
          <w:p>
            <w:pPr>
              <w:keepNext/>
              <w:keepLines/>
              <w:spacing w:before="0" w:after="100" w:line="252" w:lineRule="auto"/>
              <w:jc w:val="left"/>
              <w:rPr>
                <w:rFonts w:ascii="Calibri" w:hAnsi="Calibri" w:cs="Arial"/>
                <w:i/>
                <w:color w:val="548DD4"/>
                <w:sz w:val="20"/>
                <w:szCs w:val="20"/>
                <w:lang w:eastAsia="es-CL"/>
              </w:rPr>
            </w:pPr>
            <w:r>
              <w:rPr>
                <w:rFonts w:ascii="Calibri" w:hAnsi="Calibri"/>
                <w:b/>
                <w:i w:val="0"/>
                <w:color w:val="000000"/>
                <w:sz w:val="20"/>
              </w:rPr>
              <w:t>Actividades que no has iniciado o están retrasadas</w:t>
            </w:r>
          </w:p>
          <w:p>
            <w:pPr>
              <w:keepNext w:val="0"/>
              <w:keepLines/>
              <w:spacing w:before="0" w:after="100" w:line="252" w:lineRule="auto"/>
              <w:jc w:val="left"/>
              <w:rPr>
                <w:rFonts w:ascii="Calibri" w:hAnsi="Calibri" w:cs="Arial"/>
                <w:i/>
                <w:color w:val="548DD4"/>
                <w:sz w:val="20"/>
                <w:szCs w:val="20"/>
                <w:lang w:eastAsia="es-CL"/>
              </w:rPr>
            </w:pPr>
            <w:r>
              <w:rPr>
                <w:rFonts w:ascii="Calibri" w:hAnsi="Calibri"/>
                <w:i w:val="0"/>
                <w:color w:val="000000"/>
                <w:sz w:val="20"/>
              </w:rPr>
              <w:t>El backlog v0.2 identifica 25 historias pendientes y 2 por verificar. Debemos desarrollar y probar el nuevo flujo de pagos, reembolsos, liquidación y conciliación, completar la integración GPS y reunir evidencia del flujo de principio a fin. Tampoco se acredita una instalación reproducida en un equipo limpio ni la aceptación del docente.</w:t>
            </w:r>
          </w:p>
          <w:p>
            <w:pPr>
              <w:keepNext w:val="0"/>
              <w:keepLines/>
              <w:spacing w:before="0" w:after="100" w:line="252" w:lineRule="auto"/>
              <w:jc w:val="left"/>
              <w:rPr>
                <w:rFonts w:ascii="Calibri" w:hAnsi="Calibri" w:cs="Arial"/>
                <w:i/>
                <w:color w:val="548DD4"/>
                <w:sz w:val="20"/>
                <w:szCs w:val="20"/>
                <w:lang w:eastAsia="es-CL"/>
              </w:rPr>
            </w:pPr>
            <w:r>
              <w:rPr>
                <w:rFonts w:ascii="Calibri" w:hAnsi="Calibri"/>
                <w:i w:val="0"/>
                <w:color w:val="000000"/>
                <w:sz w:val="20"/>
              </w:rPr>
              <w:t>No declaramos actividades con retraso porque aún falta contrastar la planificación propuesta con el registro real de trabajo y las fechas oficiales de entrega. Los estados de la tabla son una referencia de monitoreo y deberán actualizarse con el equipo; no certifican ejecución ni cierre de sprints.</w:t>
            </w:r>
          </w:p>
          <w:p>
            <w:pPr>
              <w:keepNext w:val="0"/>
              <w:keepLines/>
              <w:spacing w:before="0" w:after="100" w:line="252" w:lineRule="auto"/>
              <w:jc w:val="left"/>
              <w:rPr>
                <w:rFonts w:ascii="Calibri" w:hAnsi="Calibri" w:cs="Arial"/>
                <w:i/>
                <w:color w:val="548DD4"/>
                <w:sz w:val="20"/>
                <w:szCs w:val="20"/>
                <w:lang w:eastAsia="es-CL"/>
              </w:rPr>
            </w:pPr>
            <w:r>
              <w:rPr>
                <w:rFonts w:ascii="Calibri" w:hAnsi="Calibri"/>
                <w:i w:val="0"/>
                <w:color w:val="000000"/>
                <w:sz w:val="20"/>
              </w:rPr>
              <w:t>Para avanzar, resolveremos primero las decisiones de pagos y estados; dividiremos cada HU en tareas verificables y coordinaremos sus dependencias. Daniel registrará pruebas y defectos con apoyo del equipo; Diego coordinará integración; Kevin completará interfaces; Paul mantendrá documentos y trazabilidad. Revisaremos la carga al cerrar cada ciclo de 2 semanas.</w:t>
            </w:r>
          </w:p>
          <w:p>
            <w:pPr>
              <w:keepNext w:val="0"/>
              <w:keepLines/>
              <w:spacing w:before="0" w:after="100" w:line="252" w:lineRule="auto"/>
              <w:jc w:val="left"/>
              <w:rPr>
                <w:rFonts w:ascii="Calibri" w:hAnsi="Calibri" w:cs="Arial"/>
                <w:i/>
                <w:color w:val="548DD4"/>
                <w:sz w:val="20"/>
                <w:szCs w:val="20"/>
                <w:lang w:eastAsia="es-CL"/>
              </w:rPr>
            </w:pPr>
            <w:r>
              <w:rPr>
                <w:rFonts w:ascii="Calibri" w:hAnsi="Calibri"/>
                <w:i w:val="0"/>
                <w:color w:val="000000"/>
                <w:sz w:val="20"/>
              </w:rPr>
              <w:t>Antes de presentar esta guía, el equipo debe adjuntar las evidencias documentales seleccionadas y completar resultados reales, capturas, versión probada y acuerdos de revisión. Se mantiene el proyecto en desarrollo; la demostración, pruebas finales y aprobación académica siguen pendientes.</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Splash Avance del proyecto APT Fase 2</dc:title>
  <dc:subject>Seguimiento del desarrollo y ajustes con backlog v0.2 de 83 HU</dc:subject>
  <dc:creator>Equipo Splash</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