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cantSplit/>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pPr>
              <w:keepNext w:val="0"/>
              <w:keepLines/>
              <w:spacing w:before="0" w:after="100" w:line="252" w:lineRule="auto"/>
              <w:jc w:val="left"/>
              <w:rPr>
                <w:b/>
              </w:rPr>
            </w:pPr>
            <w:r>
              <w:rPr>
                <w:rFonts w:ascii="Calibri" w:hAnsi="Calibri"/>
                <w:b w:val="0"/>
                <w:i w:val="0"/>
                <w:color w:val="000000"/>
                <w:sz w:val="20"/>
              </w:rPr>
              <w:t>Splash — Plataforma de intermediación de lavado de vehículos a domicilio.</w:t>
            </w:r>
          </w:p>
          <w:p>
            <w:pPr>
              <w:keepNext w:val="0"/>
              <w:keepLines/>
              <w:spacing w:before="0" w:after="100" w:line="252" w:lineRule="auto"/>
              <w:jc w:val="left"/>
              <w:rPr>
                <w:b/>
              </w:rPr>
            </w:pPr>
            <w:r>
              <w:rPr>
                <w:rFonts w:ascii="Calibri" w:hAnsi="Calibri"/>
                <w:b w:val="0"/>
                <w:i w:val="0"/>
                <w:color w:val="000000"/>
                <w:sz w:val="20"/>
              </w:rPr>
              <w:t>Informe de fase 2 con corte al 17 de octubre de 2026. Proyecto en desarrollo; no constituye cierre ni aceptación final de la aplicación.</w:t>
            </w:r>
          </w:p>
          <w:p>
            <w:pPr>
              <w:keepNext w:val="0"/>
              <w:keepLines/>
              <w:spacing w:before="0" w:after="100" w:line="252" w:lineRule="auto"/>
              <w:jc w:val="left"/>
              <w:rPr>
                <w:b/>
              </w:rPr>
            </w:pPr>
            <w:r>
              <w:rPr>
                <w:rFonts w:ascii="Calibri" w:hAnsi="Calibri"/>
                <w:b w:val="0"/>
                <w:i w:val="0"/>
                <w:color w:val="000000"/>
                <w:sz w:val="20"/>
              </w:rPr>
              <w:t>Equipo: Paul Carrillo, Diego Cortés, Kevin Iturra y Daniel Elgueta. Ingeniería en Informática, Duoc UC, sede Antonio Varas, sección 801-V. Profesor: Aldo Martínez Órdenes.</w:t>
            </w:r>
          </w:p>
        </w:tc>
      </w:tr>
      <w:tr w:rsidR="00050706" w:rsidRPr="00B4008E" w14:paraId="0C90D500" w14:textId="77777777" w:rsidTr="00434472">
        <w:trPr>
          <w:cantSplit/>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pPr>
              <w:keepNext w:val="0"/>
              <w:keepLines/>
              <w:spacing w:before="0" w:after="100" w:line="252" w:lineRule="auto"/>
              <w:jc w:val="left"/>
              <w:rPr>
                <w:b/>
              </w:rPr>
            </w:pPr>
            <w:r>
              <w:rPr>
                <w:rFonts w:ascii="Calibri" w:hAnsi="Calibri"/>
                <w:b w:val="0"/>
                <w:i w:val="0"/>
                <w:color w:val="000000"/>
                <w:sz w:val="20"/>
              </w:rPr>
              <w:t>Ingeniería de requisitos; desarrollo de aplicaciones móviles y web; integración de servicios y backend; gestión de datos; aseguramiento de calidad; seguridad de aplicaciones; gestión y documentación de proyectos informáticos.</w:t>
            </w:r>
          </w:p>
          <w:p>
            <w:pPr>
              <w:keepNext w:val="0"/>
              <w:keepLines/>
              <w:spacing w:before="0" w:after="100" w:line="252" w:lineRule="auto"/>
              <w:jc w:val="left"/>
              <w:rPr>
                <w:b/>
              </w:rPr>
            </w:pPr>
            <w:r>
              <w:rPr>
                <w:rFonts w:ascii="Calibri" w:hAnsi="Calibri"/>
                <w:b w:val="0"/>
                <w:i w:val="0"/>
                <w:color w:val="000000"/>
                <w:sz w:val="20"/>
              </w:rPr>
              <w:t>Estas áreas describen el trabajo del proyecto. Su denominación formal debe contrastarse con el Plan de Estudio vigente de la carrera.</w:t>
            </w:r>
          </w:p>
        </w:tc>
      </w:tr>
      <w:tr w:rsidR="00050706" w:rsidRPr="00B4008E" w14:paraId="34A68B25" w14:textId="77777777" w:rsidTr="00434472">
        <w:trPr>
          <w:cantSplit/>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pPr>
              <w:keepNext w:val="0"/>
              <w:keepLines/>
              <w:spacing w:before="0" w:after="100" w:line="252" w:lineRule="auto"/>
              <w:jc w:val="left"/>
              <w:rPr>
                <w:b/>
              </w:rPr>
            </w:pPr>
            <w:r>
              <w:rPr>
                <w:rFonts w:ascii="Calibri" w:hAnsi="Calibri"/>
                <w:b w:val="0"/>
                <w:i w:val="0"/>
                <w:color w:val="000000"/>
                <w:sz w:val="20"/>
              </w:rPr>
              <w:t>Analizar necesidades y especificar requisitos verificables; diseñar y desarrollar componentes de software; integrar interfaces, API y persistencia; aplicar controles de acceso y protección de datos; planificar y ejecutar pruebas; gestionar tareas y cambios; elaborar documentación técnica trazable y trabajar colaborativamente.</w:t>
            </w:r>
          </w:p>
          <w:p>
            <w:pPr>
              <w:keepNext w:val="0"/>
              <w:keepLines/>
              <w:spacing w:before="0" w:after="100" w:line="252" w:lineRule="auto"/>
              <w:jc w:val="left"/>
              <w:rPr>
                <w:b/>
              </w:rPr>
            </w:pPr>
            <w:r>
              <w:rPr>
                <w:rFonts w:ascii="Calibri" w:hAnsi="Calibri"/>
                <w:b w:val="0"/>
                <w:i w:val="0"/>
                <w:color w:val="000000"/>
                <w:sz w:val="20"/>
              </w:rPr>
              <w:t>Las competencias se expresan de forma descriptiva a partir de las actividades abordadas. No se atribuyen códigos ni se certifica su logro: falta cotejar el texto oficial del Plan de Estudio con el docente.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cantSplit/>
          <w:tblHeader/>
        </w:trPr>
        <w:tc>
          <w:tcPr>
            <w:tcW w:w="9781" w:type="dxa"/>
            <w:gridSpan w:val="2"/>
            <w:shd w:val="clear" w:color="auto" w:fill="D9D9D9" w:themeFill="background1" w:themeFillShade="D9"/>
            <w:vAlign w:val="center"/>
          </w:tcPr>
          <w:p w14:paraId="2A9DBAC8" w14:textId="13301F28" w:rsidR="001202BF" w:rsidRPr="009B676B" w:rsidRDefault="001202BF" w:rsidP="000C587E">
            <w:pPr>
              <w:ind w:left="0" w:right="0" w:firstLine="0"/>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cantSplit/>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pPr>
              <w:pStyle w:val="paragraph"/>
              <w:keepNext w:val="0"/>
              <w:keepLines/>
              <w:spacing w:before="0" w:beforeAutospacing="0" w:after="100" w:afterAutospacing="0" w:line="252" w:lineRule="auto"/>
              <w:ind w:left="0" w:right="0" w:firstLine="0"/>
              <w:jc w:val="left"/>
              <w:textAlignment w:val="baseline"/>
              <w:rPr>
                <w:rFonts w:ascii="Segoe UI" w:hAnsi="Segoe UI" w:cs="Segoe UI"/>
                <w:color w:val="0070C0"/>
                <w:sz w:val="18"/>
                <w:szCs w:val="18"/>
              </w:rPr>
            </w:pPr>
            <w:r>
              <w:rPr>
                <w:rFonts w:ascii="Calibri" w:hAnsi="Calibri"/>
                <w:b w:val="0"/>
                <w:i w:val="0"/>
                <w:color w:val="000000"/>
                <w:sz w:val="20"/>
              </w:rPr>
              <w:t>Splash aborda la dificultad para encontrar y coordinar servicios de lavado de vehículos con atención a domicilio. La propuesta conecta a clientes con prestadores independientes que aportan sus propios implementos y aceptan solicitudes mediante la aplicación. El proyecto se sitúa inicialmente en la Región Metropolitana de Chile; las comunas y condiciones del piloto aún deben definirse.</w:t>
            </w:r>
          </w:p>
          <w:p>
            <w:pPr>
              <w:pStyle w:val="paragraph"/>
              <w:keepNext w:val="0"/>
              <w:keepLines/>
              <w:spacing w:before="0" w:beforeAutospacing="0" w:after="100" w:afterAutospacing="0" w:line="252" w:lineRule="auto"/>
              <w:ind w:left="0" w:right="0" w:firstLine="0"/>
              <w:jc w:val="left"/>
              <w:textAlignment w:val="baseline"/>
              <w:rPr>
                <w:rFonts w:ascii="Segoe UI" w:hAnsi="Segoe UI" w:cs="Segoe UI"/>
                <w:color w:val="0070C0"/>
                <w:sz w:val="18"/>
                <w:szCs w:val="18"/>
              </w:rPr>
            </w:pPr>
            <w:r>
              <w:rPr>
                <w:rFonts w:ascii="Calibri" w:hAnsi="Calibri"/>
                <w:b w:val="0"/>
                <w:i w:val="0"/>
                <w:color w:val="000000"/>
                <w:sz w:val="20"/>
              </w:rPr>
              <w:t>Los usuarios previstos son personas que requieren lavar su vehículo, prestadores que buscan visibilidad para sus servicios y administradores que supervisan la operación. El valor esperado es centralizar solicitud, asignación, seguimiento GPS, evidencias y gestión del pago. Este aporte se evaluará mediante un entorno académico de prueba; no se presentan resultados comerciales ni de uso productivo.</w:t>
            </w:r>
          </w:p>
          <w:p>
            <w:pPr>
              <w:pStyle w:val="paragraph"/>
              <w:keepNext w:val="0"/>
              <w:keepLines/>
              <w:spacing w:before="0" w:beforeAutospacing="0" w:after="100" w:afterAutospacing="0" w:line="252" w:lineRule="auto"/>
              <w:ind w:left="0" w:right="0" w:firstLine="0"/>
              <w:jc w:val="left"/>
              <w:textAlignment w:val="baseline"/>
              <w:rPr>
                <w:rFonts w:ascii="Segoe UI" w:hAnsi="Segoe UI" w:cs="Segoe UI"/>
                <w:color w:val="0070C0"/>
                <w:sz w:val="18"/>
                <w:szCs w:val="18"/>
              </w:rPr>
            </w:pPr>
            <w:r>
              <w:rPr>
                <w:rFonts w:ascii="Calibri" w:hAnsi="Calibri"/>
                <w:b w:val="0"/>
                <w:i w:val="0"/>
                <w:color w:val="000000"/>
                <w:sz w:val="20"/>
              </w:rPr>
              <w:t>Para Ingeniería en Informática, el proyecto permite abordar un proceso de negocio completo con aplicaciones, servicios, permisos y datos relacionados. La cobertura territorial dependerá de validar las condiciones aplicables al lugar de prestación; no se declara autorización para lavar en la vía pública ni una comuna habilitada sin confirmación.</w:t>
            </w:r>
          </w:p>
        </w:tc>
      </w:tr>
      <w:tr w:rsidR="001202BF" w14:paraId="69DA8CAD" w14:textId="77777777" w:rsidTr="7EB51544">
        <w:trPr>
          <w:cantSplit/>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pPr>
              <w:pStyle w:val="Prrafodelista"/>
              <w:keepNext w:val="0"/>
              <w:keepLines/>
              <w:spacing w:after="100" w:line="252" w:lineRule="auto" w:before="0"/>
              <w:ind w:left="0" w:right="0" w:firstLine="0"/>
              <w:jc w:val="left"/>
              <w:rPr>
                <w:rFonts w:ascii="Calibri" w:hAnsi="Calibri" w:cs="Arial"/>
                <w:i/>
                <w:color w:val="0070C0"/>
                <w:sz w:val="18"/>
                <w:szCs w:val="20"/>
                <w:lang w:eastAsia="es-CL"/>
              </w:rPr>
            </w:pPr>
            <w:r>
              <w:rPr>
                <w:rFonts w:ascii="Calibri" w:hAnsi="Calibri"/>
                <w:b w:val="0"/>
                <w:i w:val="0"/>
                <w:color w:val="000000"/>
                <w:sz w:val="20"/>
              </w:rPr>
              <w:t>Objetivo general: desarrollar e integrar una solución de intermediación de lavado de vehículos que permita gestionar el ciclo desde la solicitud del cliente hasta la confirmación del servicio y la liquidación al prestador, dentro del alcance académico.</w:t>
            </w:r>
          </w:p>
          <w:p>
            <w:pPr>
              <w:pStyle w:val="Prrafodelista"/>
              <w:keepNext w:val="0"/>
              <w:keepLines/>
              <w:spacing w:after="100" w:line="252" w:lineRule="auto" w:before="0"/>
              <w:ind w:left="0" w:right="0" w:firstLine="0"/>
              <w:jc w:val="left"/>
              <w:rPr>
                <w:rFonts w:ascii="Calibri" w:hAnsi="Calibri" w:cs="Arial"/>
                <w:i/>
                <w:color w:val="0070C0"/>
                <w:sz w:val="18"/>
                <w:szCs w:val="20"/>
                <w:lang w:eastAsia="es-CL"/>
              </w:rPr>
            </w:pPr>
            <w:r>
              <w:rPr>
                <w:rFonts w:ascii="Calibri" w:hAnsi="Calibri"/>
                <w:b w:val="0"/>
                <w:i w:val="0"/>
                <w:color w:val="000000"/>
                <w:sz w:val="20"/>
              </w:rPr>
              <w:t>Objetivos específicos: (1) habilitar perfiles de cliente, lavador y administrador con permisos diferenciados; (2) integrar solicitudes inmediatas y programadas, aceptación y seguimiento GPS; (3) gestionar evidencias, confirmaciones, cancelaciones y disputas; (4) implementar y probar cobro, reembolso y liquidación; (5) verificar el funcionamiento y mantener requisitos, pruebas y documentación trazables.</w:t>
            </w:r>
          </w:p>
          <w:p>
            <w:pPr>
              <w:pStyle w:val="Prrafodelista"/>
              <w:keepNext w:val="0"/>
              <w:keepLines/>
              <w:spacing w:after="100" w:line="252" w:lineRule="auto" w:before="0"/>
              <w:ind w:left="0" w:right="0" w:firstLine="0"/>
              <w:jc w:val="left"/>
              <w:rPr>
                <w:rFonts w:ascii="Calibri" w:hAnsi="Calibri" w:cs="Arial"/>
                <w:i/>
                <w:color w:val="0070C0"/>
                <w:sz w:val="18"/>
                <w:szCs w:val="20"/>
                <w:lang w:eastAsia="es-CL"/>
              </w:rPr>
            </w:pPr>
            <w:r>
              <w:rPr>
                <w:rFonts w:ascii="Calibri" w:hAnsi="Calibri"/>
                <w:b w:val="0"/>
                <w:i w:val="0"/>
                <w:color w:val="000000"/>
                <w:sz w:val="20"/>
              </w:rPr>
              <w:t>Con v0.2, el alcance adopta Mercado Pago en modo de prueba al solicitar, comisión del 15 % para Splash y 85 % para el prestador, liquidación semanal por transferencia registrada manualmente y cancelación según etapa. Los objetivos siguen en desarrollo y validación; las 83 historias no se declaran aceptadas en conjunto.</w:t>
            </w:r>
          </w:p>
        </w:tc>
      </w:tr>
      <w:tr w:rsidR="001202BF" w14:paraId="2F6D6195" w14:textId="77777777" w:rsidTr="7EB51544">
        <w:trPr>
          <w:cantSplit/>
        </w:trPr>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pPr>
              <w:pStyle w:val="Prrafodelista"/>
              <w:keepNext w:val="0"/>
              <w:keepLines/>
              <w:spacing w:after="100" w:line="252" w:lineRule="auto" w:before="0"/>
              <w:ind w:left="0" w:right="0" w:firstLine="0"/>
              <w:jc w:val="left"/>
              <w:rPr>
                <w:rFonts w:ascii="Calibri" w:hAnsi="Calibri" w:cs="Arial"/>
                <w:i/>
                <w:color w:val="0070C0"/>
                <w:sz w:val="18"/>
                <w:szCs w:val="20"/>
                <w:lang w:eastAsia="es-CL"/>
              </w:rPr>
            </w:pPr>
            <w:r>
              <w:rPr>
                <w:rFonts w:ascii="Calibri" w:hAnsi="Calibri"/>
                <w:b w:val="0"/>
                <w:i w:val="0"/>
                <w:color w:val="000000"/>
                <w:sz w:val="20"/>
              </w:rPr>
              <w:t>El trabajo se organiza con un enfoque iterativo Scrumban: backlog priorizado, tareas visibles en Notion y revisión de bloqueos. Se propone un horizonte de 16 semanas relativas, dividido en 8 sprints de 2 semanas. Esta distribución organiza el trabajo y deberá ajustarse a la capacidad y al avance real; no representa sprints ya cerrados.</w:t>
            </w:r>
          </w:p>
          <w:p>
            <w:pPr>
              <w:pStyle w:val="Prrafodelista"/>
              <w:keepNext w:val="0"/>
              <w:keepLines/>
              <w:spacing w:after="100" w:line="252" w:lineRule="auto" w:before="0"/>
              <w:ind w:left="0" w:right="0" w:firstLine="0"/>
              <w:jc w:val="left"/>
              <w:rPr>
                <w:rFonts w:ascii="Calibri" w:hAnsi="Calibri" w:cs="Arial"/>
                <w:i/>
                <w:color w:val="0070C0"/>
                <w:sz w:val="18"/>
                <w:szCs w:val="20"/>
                <w:lang w:eastAsia="es-CL"/>
              </w:rPr>
            </w:pPr>
            <w:r>
              <w:rPr>
                <w:rFonts w:ascii="Calibri" w:hAnsi="Calibri"/>
                <w:b w:val="0"/>
                <w:i w:val="0"/>
                <w:color w:val="000000"/>
                <w:sz w:val="20"/>
              </w:rPr>
              <w:t>El procedimiento comprende análisis del problema y alcance, refinamiento de historias, diseño de flujos, desarrollo e integración, pruebas y actualización documental. Consolidamos el backlog v0.2 y preparamos criterios, tareas y trazabilidad. La ejecución técnica continúa y sus resultados deben registrarse por versión y caso de prueba.</w:t>
            </w:r>
          </w:p>
          <w:p>
            <w:pPr>
              <w:pStyle w:val="Prrafodelista"/>
              <w:keepNext w:val="0"/>
              <w:keepLines/>
              <w:spacing w:after="100" w:line="252" w:lineRule="auto" w:before="0"/>
              <w:ind w:left="0" w:right="0" w:firstLine="0"/>
              <w:jc w:val="left"/>
              <w:rPr>
                <w:rFonts w:ascii="Calibri" w:hAnsi="Calibri" w:cs="Arial"/>
                <w:i/>
                <w:color w:val="0070C0"/>
                <w:sz w:val="18"/>
                <w:szCs w:val="20"/>
                <w:lang w:eastAsia="es-CL"/>
              </w:rPr>
            </w:pPr>
            <w:r>
              <w:rPr>
                <w:rFonts w:ascii="Calibri" w:hAnsi="Calibri"/>
                <w:b w:val="0"/>
                <w:i w:val="0"/>
                <w:color w:val="000000"/>
                <w:sz w:val="20"/>
              </w:rPr>
              <w:t>Este enfoque resulta pertinente porque permite incorporar cambios de negocio, como el nuevo modelo de pagos, y comprobar incrementos antes de seguir integrando. La Definition of Done exige criterios cumplidos y evidencia. Diego Cortés coordina e integra; Kevin Iturra lidera frontend y revisión funcional; Paul Carrillo apoya documentación y backend; Daniel Elgueta apoya QA y documentación de pruebas. Todo el equipo colabora en backend.</w:t>
            </w:r>
          </w:p>
        </w:tc>
      </w:tr>
      <w:tr w:rsidR="001202BF" w14:paraId="76BFA255" w14:textId="77777777" w:rsidTr="7EB51544">
        <w:trPr>
          <w:cantSplit/>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pPr>
              <w:pStyle w:val="Prrafodelista"/>
              <w:keepNext w:val="0"/>
              <w:keepLines/>
              <w:spacing w:after="100" w:line="252" w:lineRule="auto" w:before="0"/>
              <w:ind w:left="0" w:right="0" w:firstLine="0"/>
              <w:jc w:val="left"/>
              <w:rPr>
                <w:rFonts w:ascii="Calibri" w:hAnsi="Calibri" w:cs="Arial"/>
                <w:i/>
                <w:color w:val="0070C0"/>
                <w:sz w:val="18"/>
                <w:szCs w:val="20"/>
                <w:lang w:eastAsia="es-CL"/>
              </w:rPr>
            </w:pPr>
            <w:r>
              <w:rPr>
                <w:rFonts w:ascii="Calibri" w:hAnsi="Calibri"/>
                <w:b w:val="0"/>
                <w:i w:val="0"/>
                <w:color w:val="000000"/>
                <w:sz w:val="20"/>
              </w:rPr>
              <w:t>Avances documentales: actualizamos 14 informes —el 00 y del 03 al 15— con 83 HU en 9 épicas. Incluyen requisitos no funcionales, ocho diagramas, backlog, propuesta de sprints, pruebas, Definition of Done y trazabilidad. Arquitectura y base de datos siguen a cargo de sus respectivos responsables y requieren alineación con los cambios del flujo de pagos.</w:t>
            </w:r>
          </w:p>
          <w:p>
            <w:pPr>
              <w:pStyle w:val="Prrafodelista"/>
              <w:keepNext w:val="0"/>
              <w:keepLines/>
              <w:spacing w:after="100" w:line="252" w:lineRule="auto" w:before="0"/>
              <w:ind w:left="0" w:right="0" w:firstLine="0"/>
              <w:jc w:val="left"/>
              <w:rPr>
                <w:rFonts w:ascii="Calibri" w:hAnsi="Calibri" w:cs="Arial"/>
                <w:i/>
                <w:color w:val="0070C0"/>
                <w:sz w:val="18"/>
                <w:szCs w:val="20"/>
                <w:lang w:eastAsia="es-CL"/>
              </w:rPr>
            </w:pPr>
            <w:r>
              <w:rPr>
                <w:rFonts w:ascii="Calibri" w:hAnsi="Calibri"/>
                <w:b w:val="0"/>
                <w:i w:val="0"/>
                <w:color w:val="000000"/>
                <w:sz w:val="20"/>
              </w:rPr>
              <w:t>Avance técnico reportado: el backlog v0.2 del 5 de octubre de 2026 declara 17 historias HECHO, 39 PARCIAL, 25 PENDIENTE y 2 POR VERIFICAR. Esa clasificación procede de la fuente y aún debe contrastarse con la versión integrada. No equivale a resultados de pruebas ejecutadas para este informe.</w:t>
            </w:r>
          </w:p>
          <w:p>
            <w:pPr>
              <w:pStyle w:val="Prrafodelista"/>
              <w:keepNext w:val="0"/>
              <w:keepLines/>
              <w:spacing w:after="100" w:line="252" w:lineRule="auto" w:before="0"/>
              <w:ind w:left="0" w:right="0" w:firstLine="0"/>
              <w:jc w:val="left"/>
              <w:rPr>
                <w:rFonts w:ascii="Calibri" w:hAnsi="Calibri" w:cs="Arial"/>
                <w:i/>
                <w:color w:val="0070C0"/>
                <w:sz w:val="18"/>
                <w:szCs w:val="20"/>
                <w:lang w:eastAsia="es-CL"/>
              </w:rPr>
            </w:pPr>
            <w:r>
              <w:rPr>
                <w:rFonts w:ascii="Calibri" w:hAnsi="Calibri"/>
                <w:b w:val="0"/>
                <w:i w:val="0"/>
                <w:color w:val="000000"/>
                <w:sz w:val="20"/>
              </w:rPr>
              <w:t>Facilitan el trabajo las funciones distribuidas del equipo, la base de aplicación existente y los criterios detallados. Las principales dificultades son funcionalidades parciales, dependencias de integración, recursos gratuitos y falta de evidencia consolidada. Priorizamos el flujo principal y los controles de acceso, pago y estados antes de validar liquidaciones.</w:t>
            </w:r>
          </w:p>
          <w:p>
            <w:pPr>
              <w:pStyle w:val="Prrafodelista"/>
              <w:keepNext w:val="0"/>
              <w:keepLines/>
              <w:spacing w:after="100" w:line="252" w:lineRule="auto" w:before="0"/>
              <w:ind w:left="0" w:right="0" w:firstLine="0"/>
              <w:jc w:val="left"/>
              <w:rPr>
                <w:rFonts w:ascii="Calibri" w:hAnsi="Calibri" w:cs="Arial"/>
                <w:i/>
                <w:color w:val="0070C0"/>
                <w:sz w:val="18"/>
                <w:szCs w:val="20"/>
                <w:lang w:eastAsia="es-CL"/>
              </w:rPr>
            </w:pPr>
            <w:r>
              <w:rPr>
                <w:rFonts w:ascii="Calibri" w:hAnsi="Calibri"/>
                <w:b w:val="0"/>
                <w:i w:val="0"/>
                <w:color w:val="000000"/>
                <w:sz w:val="20"/>
              </w:rPr>
              <w:t>Ajustes: el cobro al solicitar con Mercado Pago de prueba sustituye la transferencia del cliente al finalizar. La verificación será activa desde backend, sin webhooks. Splash asume el costo del proveedor de pagos. Se incorporan cargos por cancelación según etapa, reembolsos y exclusión de servicios disputados de la liquidación. Planificamos retirar la billetera propia y migrar sus datos.</w:t>
            </w:r>
          </w:p>
          <w:p>
            <w:pPr>
              <w:pStyle w:val="Prrafodelista"/>
              <w:keepNext w:val="0"/>
              <w:keepLines/>
              <w:spacing w:after="100" w:line="252" w:lineRule="auto" w:before="0"/>
              <w:ind w:left="0" w:right="0" w:firstLine="0"/>
              <w:jc w:val="left"/>
              <w:rPr>
                <w:rFonts w:ascii="Calibri" w:hAnsi="Calibri" w:cs="Arial"/>
                <w:i/>
                <w:color w:val="0070C0"/>
                <w:sz w:val="18"/>
                <w:szCs w:val="20"/>
                <w:lang w:eastAsia="es-CL"/>
              </w:rPr>
            </w:pPr>
            <w:r>
              <w:rPr>
                <w:rFonts w:ascii="Calibri" w:hAnsi="Calibri"/>
                <w:b w:val="0"/>
                <w:i w:val="0"/>
                <w:color w:val="000000"/>
                <w:sz w:val="20"/>
              </w:rPr>
              <w:t>Quedan por definir corte semanal, redondeo, estados técnicos, entorno concreto de Mercado Pago y cobertura del piloto. Mercado Pago productivo, transferencias automáticas y despliegue productivo quedan fuera del semestre. La confirmación automática a las 48 horas conserva carácter opcional. Estas decisiones delimitan el trabajo pendiente; no acreditan implementación completa.</w:t>
            </w:r>
          </w:p>
        </w:tc>
      </w:tr>
      <w:tr w:rsidR="001202BF" w14:paraId="2F172176" w14:textId="77777777" w:rsidTr="7EB51544">
        <w:trPr>
          <w:cantSplit/>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pPr>
              <w:pStyle w:val="Prrafodelista"/>
              <w:keepNext w:val="0"/>
              <w:keepLines/>
              <w:spacing w:after="100" w:line="252" w:lineRule="auto" w:before="0"/>
              <w:ind w:left="0" w:right="0" w:firstLine="0"/>
              <w:jc w:val="left"/>
              <w:rPr>
                <w:rFonts w:ascii="Calibri" w:hAnsi="Calibri" w:cs="Arial"/>
                <w:i/>
                <w:iCs/>
                <w:color w:val="0070C0"/>
                <w:sz w:val="18"/>
                <w:szCs w:val="20"/>
                <w:lang w:eastAsia="es-CL"/>
              </w:rPr>
            </w:pPr>
            <w:r>
              <w:rPr>
                <w:rFonts w:ascii="Calibri" w:hAnsi="Calibri"/>
                <w:b w:val="0"/>
                <w:i w:val="0"/>
                <w:color w:val="000000"/>
                <w:sz w:val="20"/>
              </w:rPr>
              <w:t>Evidencias documentales disponibles para acompañar la entrega: Splash_Backlog_Epicas_HU_FINAL_v0.2.docx, que contiene las 83 historias; 11_Product_Backlog.docx, con criterios completos; 12_Sprint_Backlog_Plantilla.docx, con tareas y revisión propuesta; 15_Matriz_de_trazabilidad_81_HU.docx, cuyo contenido actualizado cubre 83 HU pese al nombre histórico.</w:t>
            </w:r>
          </w:p>
          <w:p>
            <w:pPr>
              <w:pStyle w:val="Prrafodelista"/>
              <w:keepNext w:val="0"/>
              <w:keepLines/>
              <w:spacing w:after="100" w:line="252" w:lineRule="auto" w:before="0"/>
              <w:ind w:left="0" w:right="0" w:firstLine="0"/>
              <w:jc w:val="left"/>
              <w:rPr>
                <w:rFonts w:ascii="Calibri" w:hAnsi="Calibri" w:cs="Arial"/>
                <w:i/>
                <w:iCs/>
                <w:color w:val="0070C0"/>
                <w:sz w:val="18"/>
                <w:szCs w:val="20"/>
                <w:lang w:eastAsia="es-CL"/>
              </w:rPr>
            </w:pPr>
            <w:r>
              <w:rPr>
                <w:rFonts w:ascii="Calibri" w:hAnsi="Calibri"/>
                <w:b w:val="0"/>
                <w:i w:val="0"/>
                <w:color w:val="000000"/>
                <w:sz w:val="20"/>
              </w:rPr>
              <w:t>03_Diagramas_UML.docx permite revisar actores, estados y flujos. 04_Requisitos_no_funcionales.docx, 06_Plan_de_pruebas_y_resultados.docx, las fichas por criterio y 13_Definition_of_Done.docx definen qué verificar. 00_Prioridades_y_control_documental.docx identifica pendientes. La guía 2.4 de desarrollo recoge el monitoreo y los ajustes del plan.</w:t>
            </w:r>
          </w:p>
          <w:p>
            <w:pPr>
              <w:pStyle w:val="Prrafodelista"/>
              <w:keepNext w:val="0"/>
              <w:keepLines/>
              <w:spacing w:after="100" w:line="252" w:lineRule="auto" w:before="0"/>
              <w:ind w:left="0" w:right="0" w:firstLine="0"/>
              <w:jc w:val="left"/>
              <w:rPr>
                <w:rFonts w:ascii="Calibri" w:hAnsi="Calibri" w:cs="Arial"/>
                <w:i/>
                <w:iCs/>
                <w:color w:val="0070C0"/>
                <w:sz w:val="18"/>
                <w:szCs w:val="20"/>
                <w:lang w:eastAsia="es-CL"/>
              </w:rPr>
            </w:pPr>
            <w:r>
              <w:rPr>
                <w:rFonts w:ascii="Calibri" w:hAnsi="Calibri"/>
                <w:b w:val="0"/>
                <w:i w:val="0"/>
                <w:color w:val="000000"/>
                <w:sz w:val="20"/>
              </w:rPr>
              <w:t>Estos archivos se referencian como anexos separados y no están incrustados en esta guía. Deben seleccionarse y adjuntarse al envío académico. Las evidencias funcionales todavía deben incorporar capturas fechadas, versión o commit, datos de prueba, resultados, defectos y correcciones verificadas. Un caso redactado no constituye una prueba aprobada.</w:t>
            </w:r>
          </w:p>
          <w:p>
            <w:pPr>
              <w:pStyle w:val="Prrafodelista"/>
              <w:keepNext w:val="0"/>
              <w:keepLines/>
              <w:spacing w:after="100" w:line="252" w:lineRule="auto" w:before="0"/>
              <w:ind w:left="0" w:right="0" w:firstLine="0"/>
              <w:jc w:val="left"/>
              <w:rPr>
                <w:rFonts w:ascii="Calibri" w:hAnsi="Calibri" w:cs="Arial"/>
                <w:i/>
                <w:iCs/>
                <w:color w:val="0070C0"/>
                <w:sz w:val="18"/>
                <w:szCs w:val="20"/>
                <w:lang w:eastAsia="es-CL"/>
              </w:rPr>
            </w:pPr>
            <w:r>
              <w:rPr>
                <w:rFonts w:ascii="Calibri" w:hAnsi="Calibri"/>
                <w:b w:val="0"/>
                <w:i w:val="0"/>
                <w:color w:val="000000"/>
                <w:sz w:val="20"/>
              </w:rPr>
              <w:t>Estado de los resultados: contamos con una base documental actualizada y un desarrollo parcial reportado. La validación del flujo completo, la instalación reproducible y la aceptación académica siguen pendientes. Este informe describe el estado de fase 2 y no presenta un resultado final de producto.</w:t>
            </w:r>
          </w:p>
        </w:tc>
      </w:tr>
      <w:tr w:rsidR="001202BF" w14:paraId="635C2673" w14:textId="77777777" w:rsidTr="7EB51544">
        <w:trPr>
          <w:cantSplit/>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pPr>
              <w:pStyle w:val="Prrafodelista"/>
              <w:keepNext w:val="0"/>
              <w:keepLines/>
              <w:spacing w:after="100" w:line="252" w:lineRule="auto" w:before="0"/>
              <w:ind w:left="0" w:right="0" w:firstLine="0"/>
              <w:jc w:val="left"/>
              <w:rPr>
                <w:rFonts w:ascii="Calibri" w:hAnsi="Calibri" w:cs="Arial"/>
                <w:i/>
                <w:iCs/>
                <w:color w:val="0070C0"/>
                <w:sz w:val="18"/>
                <w:szCs w:val="18"/>
                <w:lang w:eastAsia="es-CL"/>
              </w:rPr>
            </w:pPr>
            <w:r>
              <w:rPr>
                <w:rFonts w:ascii="Calibri" w:hAnsi="Calibri"/>
                <w:b w:val="0"/>
                <w:i w:val="0"/>
                <w:color w:val="000000"/>
                <w:sz w:val="20"/>
              </w:rPr>
              <w:t>Reflexión de trabajo para validación individual: en esta etapa, Splash permite explorar cómo se relacionan requisitos, interfaces, backend, datos y pruebas dentro de una misma solución. El cambio de pagos muestra la importancia de mantener reglas consistentes y comunicar sus efectos al equipo. La documentación y la trazabilidad son parte del desarrollo, porque permiten revisar decisiones y comprobar resultados.</w:t>
            </w:r>
          </w:p>
          <w:p>
            <w:pPr>
              <w:pStyle w:val="Prrafodelista"/>
              <w:keepNext w:val="0"/>
              <w:keepLines/>
              <w:spacing w:after="100" w:line="252" w:lineRule="auto" w:before="0"/>
              <w:ind w:left="0" w:right="0" w:firstLine="0"/>
              <w:jc w:val="left"/>
              <w:rPr>
                <w:rFonts w:ascii="Calibri" w:hAnsi="Calibri" w:cs="Arial"/>
                <w:i/>
                <w:iCs/>
                <w:color w:val="0070C0"/>
                <w:sz w:val="18"/>
                <w:szCs w:val="18"/>
                <w:lang w:eastAsia="es-CL"/>
              </w:rPr>
            </w:pPr>
            <w:r>
              <w:rPr>
                <w:rFonts w:ascii="Calibri" w:hAnsi="Calibri"/>
                <w:b w:val="0"/>
                <w:i w:val="0"/>
                <w:color w:val="000000"/>
                <w:sz w:val="20"/>
              </w:rPr>
              <w:t>Como proyección vinculada a las actividades del proyecto, se pueden profundizar intereses en desarrollo e integración de aplicaciones, análisis de requisitos, aseguramiento de calidad y coordinación técnica. Para orientar esa elección será necesario evaluar la experiencia concreta de cada integrante al implementar, probar y revisar los próximos incrementos.</w:t>
            </w:r>
          </w:p>
          <w:p>
            <w:pPr>
              <w:pStyle w:val="Prrafodelista"/>
              <w:keepNext w:val="0"/>
              <w:keepLines/>
              <w:spacing w:after="100" w:line="252" w:lineRule="auto" w:before="0"/>
              <w:ind w:left="0" w:right="0" w:firstLine="0"/>
              <w:jc w:val="left"/>
              <w:rPr>
                <w:rFonts w:ascii="Calibri" w:hAnsi="Calibri" w:cs="Arial"/>
                <w:i/>
                <w:iCs/>
                <w:color w:val="0070C0"/>
                <w:sz w:val="18"/>
                <w:szCs w:val="18"/>
                <w:lang w:eastAsia="es-CL"/>
              </w:rPr>
            </w:pPr>
            <w:r>
              <w:rPr>
                <w:rFonts w:ascii="Calibri" w:hAnsi="Calibri"/>
                <w:b w:val="0"/>
                <w:i w:val="0"/>
                <w:color w:val="000000"/>
                <w:sz w:val="20"/>
              </w:rPr>
              <w:t>La comparación entre los intereses iniciales y los posteriores al proyecto queda pendiente del cierre y de la reflexión personal de cada estudiante. No se afirma que el proyecto haya terminado ni se atribuye al equipo una preferencia profesional no confirmada. Cada integrante deberá personalizar este apartado con sus intereses y proyección laboral antes de entregar su reflexión individual.</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Splash Informe de fase 2 del proyecto APT</dc:title>
  <dc:subject>Estado de desarrollo con backlog v0.2 de 83 HU</dc:subject>
  <dc:creator>Equipo Splash</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