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png" ContentType="image/png"/>
  <Override PartName="/word/media/rId33.png" ContentType="image/png"/>
  <Override PartName="/word/media/rId32.png" ContentType="image/png"/>
  <Override PartName="/word/media/rId34.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w:t>
      </w:r>
      <w:r>
        <w:rPr>
          <w:i/>
        </w:rPr>
        <w:t xml:space="preserve">difficulty</w:t>
      </w:r>
      <w:r>
        <w:t xml:space="preserve"> </w:t>
      </w:r>
      <w:r>
        <w:t xml:space="preserve">and</w:t>
      </w:r>
      <w:r>
        <w:t xml:space="preserve"> </w:t>
      </w:r>
      <w:r>
        <w:rPr>
          <w:i/>
        </w:rPr>
        <w:t xml:space="preserve">discrimination</w:t>
      </w:r>
      <w:r>
        <w:t xml:space="preserve">. Assessment specialists who examine Item Characteristic Curves usually do so from within the psychometric framework of either Item Response Theory or Rasch modeling.From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CTT indices, but the most commonly calculated and consulted index is the corrected item total correlation.Assessment specialists who consult these CTT parameters don’t typically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ICCs.Here we simulated data and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or Rasch modeling. These frameworks provide the parameters necessary to plot the curves.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regarding CTT-derived visuals is likely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Textkrper"/>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2"/>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w:t>
      </w:r>
    </w:p>
    <w:p>
      <w:pPr>
        <w:pStyle w:val="Textkrper"/>
      </w:pPr>
      <w:r>
        <w:t xml:space="preserve">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Blocktext"/>
        <w:pStyle w:val="Blocktext"/>
      </w:pPr>
      <w:r>
        <w:t xml:space="preserve">NEED MORE - GRAB FROM OLD PAPER OR FIND NEW COMPARATIVE STUDIES</w:t>
      </w:r>
    </w:p>
    <w:p>
      <w:pPr>
        <w:pStyle w:val="FirstParagraph"/>
      </w:pPr>
      <w:r>
        <w:t xml:space="preserve">There has also been occasions in which the invariance parameter has been conceptualized as a graded continuum instead of a categorical population property</w:t>
      </w:r>
      <w:r>
        <w:t xml:space="preserve"> </w:t>
      </w:r>
      <w:r>
        <w:t xml:space="preserve">(</w:t>
      </w:r>
      <w:r>
        <w:rPr>
          <w:b/>
        </w:rPr>
        <w:t xml:space="preserve">???</w:t>
      </w:r>
      <w:r>
        <w:t xml:space="preserve">;</w:t>
      </w:r>
      <w:r>
        <w:t xml:space="preserve"> </w:t>
      </w:r>
      <w:r>
        <w:rPr>
          <w:b/>
        </w:rPr>
        <w:t xml:space="preserve">???</w:t>
      </w:r>
      <w:r>
        <w:t xml:space="preserve">)</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w:t>
      </w:r>
      <w:r>
        <w:rPr>
          <w:b/>
        </w:rPr>
        <w:t xml:space="preserve">???</w:t>
      </w:r>
      <w:r>
        <w:t xml:space="preserve">; Fan, 1998)</w:t>
      </w:r>
      <w:r>
        <w:t xml:space="preserve">.</w:t>
      </w:r>
      <w:r>
        <w:br/>
      </w: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have a large range of responses can help reduce threats to CTT</w:t>
      </w:r>
      <w:r>
        <w:t xml:space="preserve"> </w:t>
      </w:r>
      <w:r>
        <w:t xml:space="preserve">“</w:t>
      </w:r>
      <w:r>
        <w:t xml:space="preserve">invarince</w:t>
      </w:r>
      <w:r>
        <w:t xml:space="preserve">”</w:t>
      </w:r>
      <w:r>
        <w:t xml:space="preserve">.</w:t>
      </w:r>
    </w:p>
    <w:p>
      <w:pPr>
        <w:pStyle w:val="berschrift2"/>
      </w:pPr>
      <w:bookmarkStart w:id="23" w:name="relationship-between-irt-and-ctt-indices"/>
      <w:r>
        <w:t xml:space="preserve">0.1	Relationship between IRT and CTT indices</w:t>
      </w:r>
      <w:bookmarkEnd w:id="23"/>
    </w:p>
    <w:p>
      <w:pPr>
        <w:pStyle w:val="FirstParagraph"/>
      </w:pPr>
      <w:r>
        <w:t xml:space="preserve">Lord (2012)</w:t>
      </w:r>
      <w:r>
        <w:t xml:space="preserve"> </w:t>
      </w:r>
      <w:r>
        <w:t xml:space="preserve">described a function that approximates the relationship between IRT parameters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to assist in the conceptual comprehension of the discrimination parameter in IRT for people who were more familiar with CTT procedures.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revised formula is used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The transformation of the standard p-value was recommended in order to scale this index along an interval-level metric more directly anaologous to the IRT</w:t>
      </w:r>
      <w:r>
        <w:t xml:space="preserve"> </w:t>
      </w:r>
      <w:r>
        <w:rPr>
          <w:i/>
        </w:rPr>
        <w:t xml:space="preserve">b</w:t>
      </w:r>
      <w:r>
        <w:t xml:space="preserve"> </w:t>
      </w:r>
      <w:r>
        <w:t xml:space="preserve">parameter. Figure XX visualizes the re-specifications of Lord’s formula at p-values (difficulty) of .5, .3 (or .7), and .1 (or .9) and highlights the nonlinear nature of this relationship - especially so at high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5" w:name="study-1---estimating-ctt-derived-iccs"/>
      <w:r>
        <w:t xml:space="preserve">1	Study 1 - Estimating CTT-Derived ICCs</w:t>
      </w:r>
      <w:bookmarkEnd w:id="25"/>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stronger as the later deviates from 0, which would mean that the item has more discrimination.We additionally changed the scale of the difficulty estimates of CTT so it is on the same scale as the IRT estimates.This was done by building a regression model using the CTT a estimate to predict the IRT a-parameter.</w:t>
      </w:r>
    </w:p>
    <w:p>
      <w:pPr>
        <w:pStyle w:val="berschrift2"/>
      </w:pPr>
      <w:bookmarkStart w:id="26" w:name="procedure-and-methods"/>
      <w:r>
        <w:t xml:space="preserve">1.1	Procedure and methods</w:t>
      </w:r>
      <w:bookmarkEnd w:id="26"/>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0).The mean for the a parameter was 2, and the standard deviation 0.8. The mean for parameter b was 0 and the standard deviation 0.5.</w:t>
      </w:r>
    </w:p>
    <w:p>
      <w:pPr>
        <w:pStyle w:val="berschrift2"/>
      </w:pPr>
      <w:bookmarkStart w:id="27" w:name="results"/>
      <w:r>
        <w:t xml:space="preserve">1.2	Results</w:t>
      </w:r>
      <w:bookmarkEnd w:id="27"/>
    </w:p>
    <w:p>
      <w:pPr>
        <w:pStyle w:val="FirstParagraph"/>
      </w:pPr>
      <w:r>
        <w:t xml:space="preserve">As shown by figure 3,</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29" w:name="X50280b468bb93fe53f1ff14d53a7037dd5ec7a5"/>
      <w:r>
        <w:t xml:space="preserve">2	Study 2 - Evaluating the Comparability of IRT and CTT ICCs</w:t>
      </w:r>
      <w:bookmarkEnd w:id="29"/>
    </w:p>
    <w:p>
      <w:pPr>
        <w:pStyle w:val="FirstParagraph"/>
      </w:pPr>
      <w:r>
        <w:t xml:space="preserve">The purpose of study 2 is to simulates a lot of test data and then generate ICCs based on the IRT model and then we compare that to our CTT estimates.</w:t>
      </w:r>
    </w:p>
    <w:p>
      <w:pPr>
        <w:pStyle w:val="berschrift2"/>
      </w:pPr>
      <w:bookmarkStart w:id="30" w:name="procedure-and-materials"/>
      <w:r>
        <w:t xml:space="preserve">2.1	Procedure and materials</w:t>
      </w:r>
      <w:bookmarkEnd w:id="30"/>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the IRT statistics. As we can see on Figure 3, the blue curves were plotted using 2PL IRT parameters (a and b), while the red curves were plotted using CTT parameters (p-values and corrected item-total correlations, modifying them with</w:t>
      </w:r>
      <w:r>
        <w:t xml:space="preserve"> </w:t>
      </w:r>
      <w:r>
        <w:t xml:space="preserve">Kulas et al. (2017)</w:t>
      </w:r>
      <w:r>
        <w:t xml:space="preserve"> </w:t>
      </w:r>
      <w:r>
        <w:t xml:space="preserve">formulas).</w:t>
      </w:r>
    </w:p>
    <w:p>
      <w:pPr>
        <w:pStyle w:val="berschrift2"/>
      </w:pPr>
      <w:bookmarkStart w:id="31" w:name="results-1"/>
      <w:r>
        <w:t xml:space="preserve">2.2	Results</w:t>
      </w:r>
      <w:bookmarkEnd w:id="31"/>
    </w:p>
    <w:p>
      <w:pPr>
        <w:pStyle w:val="FirstParagraph"/>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histrogram and density)Histogram of all areas between curves plotted using IRT parameters vs curves plotted using CTT parameters." title="" id="1" name="Picture"/>
            <a:graphic>
              <a:graphicData uri="http://schemas.openxmlformats.org/drawingml/2006/picture">
                <pic:pic>
                  <pic:nvPicPr>
                    <pic:cNvPr descr="ICC_project_files/figure-docx/histrogram%20and%20density-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(#fig:histrogram</w:t>
      </w:r>
      <w:r>
        <w:t xml:space="preserve"> </w:t>
      </w:r>
      <w:r>
        <w:rPr>
          <w:i/>
        </w:rPr>
        <w:t xml:space="preserve">and</w:t>
      </w:r>
      <w:r>
        <w:t xml:space="preserve"> </w:t>
      </w:r>
      <w:r>
        <w:t xml:space="preserve">density)Histogram of all areas between curves plotted using IRT parameters vs curves plotted using CTT parameters.</w:t>
      </w:r>
    </w:p>
    <w:p>
      <w:pPr>
        <w:pStyle w:val="CaptionedFigure"/>
      </w:pPr>
      <w:r>
        <w:drawing>
          <wp:inline>
            <wp:extent cx="4587290" cy="3669832"/>
            <wp:effectExtent b="0" l="0" r="0" t="0"/>
            <wp:docPr descr="Figure 4.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ICCs derived from only CTT parameters (with two noteworthy ICCs annotated).</w:t>
      </w:r>
    </w:p>
    <w:p>
      <w:pPr>
        <w:pStyle w:val="CaptionedFigure"/>
      </w:pPr>
      <w:r>
        <w:drawing>
          <wp:inline>
            <wp:extent cx="4587290" cy="3669832"/>
            <wp:effectExtent b="0" l="0" r="0" t="0"/>
            <wp:docPr descr="Figure 5.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Typical ICCs derived from IRT parameters (same noteworthy items annotated).</w:t>
      </w:r>
    </w:p>
    <w:p>
      <w:pPr>
        <w:pStyle w:val="berschrift1"/>
      </w:pPr>
      <w:bookmarkStart w:id="35" w:name="results-2"/>
      <w:r>
        <w:t xml:space="preserve">3	Results</w:t>
      </w:r>
      <w:bookmarkEnd w:id="35"/>
    </w:p>
    <w:p>
      <w:pPr>
        <w:pStyle w:val="berschrift1"/>
      </w:pPr>
      <w:bookmarkStart w:id="36" w:name="discussion"/>
      <w:r>
        <w:t xml:space="preserve">4	Discussion</w:t>
      </w:r>
      <w:bookmarkEnd w:id="36"/>
    </w:p>
    <w:p>
      <w:pPr>
        <w:pStyle w:val="FirstParagraph"/>
      </w:pPr>
      <w:r>
        <w:t xml:space="preserve">If this general idea is well-recieved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extremly difficult/easy items as well as very poorly discriminating items. If patterns emerge, we would like to model predicted discrepancies via incorporating error bars within our visualizations.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37" w:name="references"/>
      <w:r>
        <w:t xml:space="preserve">5	References</w:t>
      </w:r>
      <w:bookmarkEnd w:id="37"/>
    </w:p>
    <w:bookmarkStart w:id="45" w:name="refs"/>
    <w:bookmarkStart w:id="39"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38">
        <w:r>
          <w:rPr>
            <w:rStyle w:val="Hyperlink"/>
          </w:rPr>
          <w:t xml:space="preserve">https://doi.org/10.18637/jss.v048.i06</w:t>
        </w:r>
      </w:hyperlink>
    </w:p>
    <w:bookmarkEnd w:id="39"/>
    <w:bookmarkStart w:id="40"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40"/>
    <w:bookmarkStart w:id="41"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41"/>
    <w:bookmarkStart w:id="42"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42"/>
    <w:bookmarkStart w:id="43"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43"/>
    <w:bookmarkStart w:id="44"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44"/>
    <w:bookmarkEnd w:id="4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38" Target="https://doi.org/10.18637/jss.v048.i06"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8637/jss.v048.i06"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2021-10-12T21:04:45Z</dcterms:created>
  <dcterms:modified xsi:type="dcterms:W3CDTF">2021-10-12T21:04:45Z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