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34.png" ContentType="image/png"/>
  <Override PartName="/word/media/rId33.png" ContentType="image/png"/>
  <Override PartName="/word/media/rId35.png" ContentType="image/png"/>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
        </w:rPr>
        <w:t xml:space="preserve">difficulty</w:t>
      </w:r>
      <w:r>
        <w:t xml:space="preserve"> </w:t>
      </w:r>
      <w:r>
        <w:t xml:space="preserve">and</w:t>
      </w:r>
      <w:r>
        <w:t xml:space="preserve"> </w:t>
      </w:r>
      <w:r>
        <w:rPr>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Item Characteristic Curves generated from common CTT Item Statistics</w:t>
      </w:r>
    </w:p>
    <w:p>
      <w:pPr>
        <w:pStyle w:val="Textkrper"/>
      </w:pPr>
      <w:r>
        <w:t xml:space="preserve">Item characteristic curves are frequently referenced by psychometricians as visual indicators of important attributes of assessment items - most frequently</w:t>
      </w:r>
      <w:r>
        <w:t xml:space="preserve"> </w:t>
      </w:r>
      <w:r>
        <w:rPr>
          <w:i/>
        </w:rPr>
        <w:t xml:space="preserve">difficulty</w:t>
      </w:r>
      <w:r>
        <w:t xml:space="preserve"> </w:t>
      </w:r>
      <w:r>
        <w:t xml:space="preserve">and</w:t>
      </w:r>
      <w:r>
        <w:t xml:space="preserve"> </w:t>
      </w:r>
      <w:r>
        <w:rPr>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p>
      <w:pPr>
        <w:pStyle w:val="berschrift2"/>
      </w:pPr>
      <w:bookmarkStart w:id="22" w:name="ctt-and-irt-comparability-investigations"/>
      <w:r>
        <w:t xml:space="preserve">0.1	CTT and IRT comparability investigations</w:t>
      </w:r>
      <w:bookmarkEnd w:id="22"/>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3"/>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berschrift2"/>
      </w:pPr>
      <w:bookmarkStart w:id="24" w:name="relationship-between-irt-and-ctt-indices"/>
      <w:r>
        <w:t xml:space="preserve">0.2	Relationship between IRT and CTT indices</w:t>
      </w:r>
      <w:bookmarkEnd w:id="24"/>
    </w:p>
    <w:p>
      <w:pPr>
        <w:pStyle w:val="FirstParagraph"/>
      </w:pPr>
      <w:r>
        <w:t xml:space="preserve">Lord (2012)</w:t>
      </w:r>
      <w:r>
        <w:t xml:space="preserve"> </w:t>
      </w:r>
      <w:r>
        <w:t xml:space="preserve">described a function that approximates the relationship between the IRT</w:t>
      </w:r>
      <w:r>
        <w:t xml:space="preserve"> </w:t>
      </w:r>
      <w:r>
        <w:rPr>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t>≅</m:t>
          </m:r>
          <m:f>
            <m:fPr>
              <m:type m:val="bar"/>
            </m:fPr>
            <m:num>
              <m:sSub>
                <m:e>
                  <m:r>
                    <m:t>r</m:t>
                  </m:r>
                </m:e>
                <m:sub>
                  <m:r>
                    <m:t>i</m:t>
                  </m:r>
                </m:sub>
              </m:sSub>
            </m:num>
            <m:den>
              <m:rad>
                <m:radPr>
                  <m:degHide m:val="1"/>
                </m:radPr>
                <m:deg/>
                <m:e>
                  <m:r>
                    <m:t>1</m:t>
                  </m:r>
                  <m: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
        </w:rPr>
        <w:t xml:space="preserve">corrected</w:t>
      </w:r>
      <w:r>
        <w:t xml:space="preserve"> </w:t>
      </w:r>
      <w:r>
        <w:t xml:space="preserve">item-total</w:t>
      </w:r>
      <w:r>
        <w:t xml:space="preserve"> </w:t>
      </w:r>
      <w:r>
        <w:rPr>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t>≅</m:t>
          </m:r>
          <m:r>
            <m:t>[</m:t>
          </m:r>
          <m:r>
            <m:t>(</m:t>
          </m:r>
          <m:r>
            <m:t>.51</m:t>
          </m:r>
          <m:r>
            <m:t>+</m:t>
          </m:r>
          <m:r>
            <m:t>.02</m:t>
          </m:r>
          <m:sSub>
            <m:e>
              <m:r>
                <m:t>z</m:t>
              </m:r>
            </m:e>
            <m:sub>
              <m:r>
                <m:t>g</m:t>
              </m:r>
            </m:sub>
          </m:sSub>
          <m:r>
            <m:t>+</m:t>
          </m:r>
          <m:r>
            <m:t>.3</m:t>
          </m:r>
          <m:sSubSup>
            <m:e>
              <m:r>
                <m:t>z</m:t>
              </m:r>
            </m:e>
            <m:sub>
              <m:r>
                <m:t>g</m:t>
              </m:r>
            </m:sub>
            <m:sup>
              <m:r>
                <m:t>2</m:t>
              </m:r>
            </m:sup>
          </m:sSubSup>
          <m:r>
            <m:t>)</m:t>
          </m:r>
          <m:r>
            <m:t>r</m:t>
          </m:r>
          <m:r>
            <m:t>]</m:t>
          </m:r>
          <m:r>
            <m:t>+</m:t>
          </m:r>
          <m:r>
            <m:t>[</m:t>
          </m:r>
          <m:r>
            <m:t>(</m:t>
          </m:r>
          <m:r>
            <m:t>.57</m:t>
          </m:r>
          <m:r>
            <m:t>−</m:t>
          </m:r>
          <m:r>
            <m:t>.009</m:t>
          </m:r>
          <m:sSub>
            <m:e>
              <m:r>
                <m:t>z</m:t>
              </m:r>
            </m:e>
            <m:sub>
              <m:r>
                <m:t>g</m:t>
              </m:r>
            </m:sub>
          </m:sSub>
          <m:r>
            <m:t>+</m:t>
          </m:r>
          <m:r>
            <m:t>.19</m:t>
          </m:r>
          <m:sSubSup>
            <m:e>
              <m:r>
                <m:t>z</m:t>
              </m:r>
            </m:e>
            <m:sub>
              <m:r>
                <m:t>g</m:t>
              </m:r>
            </m:sub>
            <m:sup>
              <m:r>
                <m:t>2</m:t>
              </m:r>
            </m:sup>
          </m:sSubSup>
          <m:r>
            <m:t>)</m:t>
          </m:r>
          <m:f>
            <m:fPr>
              <m:type m:val="bar"/>
            </m:fPr>
            <m:num>
              <m:sSup>
                <m:e>
                  <m:r>
                    <m:t>e</m:t>
                  </m:r>
                </m:e>
                <m:sup>
                  <m:r>
                    <m:t>r</m:t>
                  </m:r>
                </m:sup>
              </m:sSup>
              <m:r>
                <m:t>−</m:t>
              </m:r>
              <m:sSup>
                <m:e>
                  <m:r>
                    <m:t>e</m:t>
                  </m:r>
                </m:e>
                <m:sup>
                  <m:r>
                    <m:t>−</m:t>
                  </m:r>
                  <m:r>
                    <m:t>r</m:t>
                  </m:r>
                </m:sup>
              </m:sSup>
            </m:num>
            <m:den>
              <m:r>
                <m:t>e</m:t>
              </m:r>
              <m:r>
                <m:t>−</m:t>
              </m:r>
              <m:sSup>
                <m:e>
                  <m:r>
                    <m:t>e</m:t>
                  </m:r>
                </m:e>
                <m:sup>
                  <m:r>
                    <m:t>r</m:t>
                  </m:r>
                </m:sup>
              </m:sSup>
            </m:den>
          </m:f>
          <m: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Empricially-derived 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6" w:name="study-1---estimating-ctt-derived-iccs"/>
      <w:r>
        <w:t xml:space="preserve">1	Study 1 - Estimating CTT-derived ICC’s</w:t>
      </w:r>
      <w:bookmarkEnd w:id="26"/>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p>
      <w:pPr>
        <w:pStyle w:val="berschrift2"/>
      </w:pPr>
      <w:bookmarkStart w:id="27" w:name="procedure-and-methods"/>
      <w:r>
        <w:t xml:space="preserve">1.1	Procedure and methods</w:t>
      </w:r>
      <w:bookmarkEnd w:id="27"/>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p>
      <w:pPr>
        <w:pStyle w:val="berschrift2"/>
      </w:pPr>
      <w:bookmarkStart w:id="28" w:name="results"/>
      <w:r>
        <w:t xml:space="preserve">1.2	Results</w:t>
      </w:r>
      <w:bookmarkEnd w:id="28"/>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Four ICCs showcasing the difference between CTT and IRT-derivated curves at different levels.</w:t>
      </w:r>
    </w:p>
    <w:p>
      <w:pPr>
        <w:pStyle w:val="berschrift1"/>
      </w:pPr>
      <w:bookmarkStart w:id="30" w:name="X50280b468bb93fe53f1ff14d53a7037dd5ec7a5"/>
      <w:r>
        <w:t xml:space="preserve">2	Study 2 - Evaluating the Comparability of IRT and CTT ICC’s</w:t>
      </w:r>
      <w:bookmarkEnd w:id="30"/>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p>
      <w:pPr>
        <w:pStyle w:val="berschrift2"/>
      </w:pPr>
      <w:bookmarkStart w:id="31" w:name="procedure-and-materials"/>
      <w:r>
        <w:t xml:space="preserve">2.1	Procedure and materials</w:t>
      </w:r>
      <w:bookmarkEnd w:id="31"/>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p>
      <w:pPr>
        <w:pStyle w:val="berschrift2"/>
      </w:pPr>
      <w:bookmarkStart w:id="32" w:name="results-1"/>
      <w:r>
        <w:t xml:space="preserve">2.2	Results</w:t>
      </w:r>
      <w:bookmarkEnd w:id="32"/>
    </w:p>
    <w:p>
      <w:pPr>
        <w:pStyle w:val="FirstParagraph"/>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1" name="Picture"/>
            <a:graphic>
              <a:graphicData uri="http://schemas.openxmlformats.org/drawingml/2006/picture">
                <pic:pic>
                  <pic:nvPicPr>
                    <pic:cNvPr descr="ICC_project_files/figure-docx/histrogram-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Typical ICCs derived from IRT parameters (same noteworthy items annotated).</w:t>
      </w:r>
    </w:p>
    <w:p>
      <w:pPr>
        <w:pStyle w:val="berschrift1"/>
      </w:pPr>
      <w:bookmarkStart w:id="36" w:name="discussion"/>
      <w:r>
        <w:t xml:space="preserve">3	Discussion</w:t>
      </w:r>
      <w:bookmarkEnd w:id="36"/>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p>
      <w:pPr>
        <w:pStyle w:val="berschrift1"/>
      </w:pPr>
      <w:bookmarkStart w:id="37" w:name="references"/>
      <w:r>
        <w:t xml:space="preserve">4	References</w:t>
      </w:r>
      <w:bookmarkEnd w:id="37"/>
    </w:p>
    <w:bookmarkStart w:id="49" w:name="refs"/>
    <w:bookmarkStart w:id="38" w:name="ref-R-geiger_a"/>
    <w:p>
      <w:pPr>
        <w:pStyle w:val="Literaturverzeichnis"/>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
        </w:rPr>
        <w:t xml:space="preserve">Proceedings of the National Academy of Sciences of the United States of America</w:t>
      </w:r>
      <w:r>
        <w:t xml:space="preserve">,</w:t>
      </w:r>
      <w:r>
        <w:t xml:space="preserve"> </w:t>
      </w:r>
      <w:r>
        <w:rPr>
          <w:i/>
        </w:rPr>
        <w:t xml:space="preserve">106</w:t>
      </w:r>
      <w:r>
        <w:t xml:space="preserve">, 13410–13414.</w:t>
      </w:r>
    </w:p>
    <w:bookmarkEnd w:id="38"/>
    <w:bookmarkStart w:id="40" w:name="ref-R-mirt"/>
    <w:p>
      <w:pPr>
        <w:pStyle w:val="Literaturverzeichnis"/>
        <w:pStyle w:val="Literaturverzeichnis"/>
      </w:pPr>
      <w:r>
        <w:t xml:space="preserve">Chalmers, R. P. (2012). mirt: A multidimensional item response theory package for the R environment.</w:t>
      </w:r>
      <w:r>
        <w:t xml:space="preserve"> </w:t>
      </w:r>
      <w:r>
        <w:rPr>
          <w:i/>
        </w:rPr>
        <w:t xml:space="preserve">Journal of Statistical Software</w:t>
      </w:r>
      <w:r>
        <w:t xml:space="preserve">,</w:t>
      </w:r>
      <w:r>
        <w:t xml:space="preserve"> </w:t>
      </w:r>
      <w:r>
        <w:rPr>
          <w:i/>
        </w:rPr>
        <w:t xml:space="preserve">48</w:t>
      </w:r>
      <w:r>
        <w:t xml:space="preserve">(6), 1–29.</w:t>
      </w:r>
      <w:r>
        <w:t xml:space="preserve"> </w:t>
      </w:r>
      <w:hyperlink r:id="rId39">
        <w:r>
          <w:rPr>
            <w:rStyle w:val="Hyperlink"/>
          </w:rPr>
          <w:t xml:space="preserve">https://doi.org/10.18637/jss.v048.i06</w:t>
        </w:r>
      </w:hyperlink>
    </w:p>
    <w:bookmarkEnd w:id="40"/>
    <w:bookmarkStart w:id="41" w:name="ref-fan1998item"/>
    <w:p>
      <w:pPr>
        <w:pStyle w:val="Literaturverzeichnis"/>
        <w:pStyle w:val="Literaturverzeichnis"/>
      </w:pPr>
      <w:r>
        <w:t xml:space="preserve">Fan, X. (1998). Item response theory and classical test theory: An empirical comparison of their item/person statistics.</w:t>
      </w:r>
      <w:r>
        <w:t xml:space="preserve"> </w:t>
      </w:r>
      <w:r>
        <w:rPr>
          <w:i/>
        </w:rPr>
        <w:t xml:space="preserve">Educational and Psychological Measurement</w:t>
      </w:r>
      <w:r>
        <w:t xml:space="preserve">,</w:t>
      </w:r>
      <w:r>
        <w:t xml:space="preserve"> </w:t>
      </w:r>
      <w:r>
        <w:rPr>
          <w:i/>
        </w:rPr>
        <w:t xml:space="preserve">58</w:t>
      </w:r>
      <w:r>
        <w:t xml:space="preserve">(3), 357–381.</w:t>
      </w:r>
    </w:p>
    <w:bookmarkEnd w:id="41"/>
    <w:bookmarkStart w:id="42" w:name="ref-hambleton1993comparison"/>
    <w:p>
      <w:pPr>
        <w:pStyle w:val="Literaturverzeichnis"/>
        <w:pStyle w:val="Literaturverzeichnis"/>
      </w:pPr>
      <w:r>
        <w:t xml:space="preserve">Hambleton, R. K., &amp; Jones, R. W. (1993). Comparison of classical test theory and item response theory and their applications to test development.</w:t>
      </w:r>
      <w:r>
        <w:t xml:space="preserve"> </w:t>
      </w:r>
      <w:r>
        <w:rPr>
          <w:i/>
        </w:rPr>
        <w:t xml:space="preserve">Educational Measurement: Issues and Practice</w:t>
      </w:r>
      <w:r>
        <w:t xml:space="preserve">,</w:t>
      </w:r>
      <w:r>
        <w:t xml:space="preserve"> </w:t>
      </w:r>
      <w:r>
        <w:rPr>
          <w:i/>
        </w:rPr>
        <w:t xml:space="preserve">12</w:t>
      </w:r>
      <w:r>
        <w:t xml:space="preserve">(3), 38–47.</w:t>
      </w:r>
    </w:p>
    <w:bookmarkEnd w:id="42"/>
    <w:bookmarkStart w:id="43" w:name="ref-hambleton1991fundamentals"/>
    <w:p>
      <w:pPr>
        <w:pStyle w:val="Literaturverzeichnis"/>
        <w:pStyle w:val="Literaturverzeichnis"/>
      </w:pPr>
      <w:r>
        <w:t xml:space="preserve">Hambleton, R. K., Swaminathan, H., &amp; Rogers, H. J. (1991).</w:t>
      </w:r>
      <w:r>
        <w:t xml:space="preserve"> </w:t>
      </w:r>
      <w:r>
        <w:rPr>
          <w:i/>
        </w:rPr>
        <w:t xml:space="preserve">Fundamentals of item response theory</w:t>
      </w:r>
      <w:r>
        <w:t xml:space="preserve"> </w:t>
      </w:r>
      <w:r>
        <w:t xml:space="preserve">(Vol. 2). Sage.</w:t>
      </w:r>
    </w:p>
    <w:bookmarkEnd w:id="43"/>
    <w:bookmarkStart w:id="44"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44"/>
    <w:bookmarkStart w:id="45"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45"/>
    <w:bookmarkStart w:id="46"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46"/>
    <w:bookmarkStart w:id="47" w:name="ref-macdonald2002monte"/>
    <w:p>
      <w:pPr>
        <w:pStyle w:val="Literaturverzeichnis"/>
        <w:pStyle w:val="Literaturverzeichnis"/>
      </w:pPr>
      <w:r>
        <w:t xml:space="preserve">Macdonald, P., &amp; Paunonen, S. V. (2002). A monte carlo comparison of item and person statistics based on item response theory versus classical test theory.</w:t>
      </w:r>
      <w:r>
        <w:t xml:space="preserve"> </w:t>
      </w:r>
      <w:r>
        <w:rPr>
          <w:i/>
        </w:rPr>
        <w:t xml:space="preserve">Educational and Psychological Measurement</w:t>
      </w:r>
      <w:r>
        <w:t xml:space="preserve">,</w:t>
      </w:r>
      <w:r>
        <w:t xml:space="preserve"> </w:t>
      </w:r>
      <w:r>
        <w:rPr>
          <w:i/>
        </w:rPr>
        <w:t xml:space="preserve">62</w:t>
      </w:r>
      <w:r>
        <w:t xml:space="preserve">(6), 921–943.</w:t>
      </w:r>
    </w:p>
    <w:bookmarkEnd w:id="47"/>
    <w:bookmarkStart w:id="48" w:name="ref-rupp2004note"/>
    <w:p>
      <w:pPr>
        <w:pStyle w:val="Literaturverzeichnis"/>
        <w:pStyle w:val="Literaturverzeichnis"/>
      </w:pPr>
      <w:r>
        <w:t xml:space="preserve">Rupp, A. A., &amp; Zumbo, B. D. (2004). A note on how to quantify and report whether irt parameter invariance holds: When pearson correlations are not enough.</w:t>
      </w:r>
      <w:r>
        <w:t xml:space="preserve"> </w:t>
      </w:r>
      <w:r>
        <w:rPr>
          <w:i/>
        </w:rPr>
        <w:t xml:space="preserve">Educational and Psychological Measurement</w:t>
      </w:r>
      <w:r>
        <w:t xml:space="preserve">,</w:t>
      </w:r>
      <w:r>
        <w:t xml:space="preserve"> </w:t>
      </w:r>
      <w:r>
        <w:rPr>
          <w:i/>
        </w:rPr>
        <w:t xml:space="preserve">64</w:t>
      </w:r>
      <w:r>
        <w:t xml:space="preserve">(4), 588–599.</w:t>
      </w:r>
    </w:p>
    <w:bookmarkEnd w:id="48"/>
    <w:bookmarkEnd w:id="4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39" Target="https://doi.org/10.18637/jss.v048.i06"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8637/jss.v048.i06"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2021-10-13T17:54:05Z</dcterms:created>
  <dcterms:modified xsi:type="dcterms:W3CDTF">2021-10-13T17:54:05Z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