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7.png" ContentType="image/png"/>
  <Override PartName="/word/media/rId21.png" ContentType="image/png"/>
  <Override PartName="/word/media/rId42.png" ContentType="image/png"/>
  <Override PartName="/word/media/rId39.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Classical</w:t>
      </w:r>
      <w:r>
        <w:t xml:space="preserve"> </w:t>
      </w:r>
      <w:r>
        <w:t xml:space="preserve">Test</w:t>
      </w:r>
      <w:r>
        <w:t xml:space="preserve"> </w:t>
      </w:r>
      <w:r>
        <w:t xml:space="preserve">Theory</w:t>
      </w:r>
      <w:r>
        <w:t xml:space="preserve"> </w:t>
      </w:r>
      <w:r>
        <w:t xml:space="preserve">Item</w:t>
      </w:r>
      <w:r>
        <w:t xml:space="preserve"> </w:t>
      </w:r>
      <w:r>
        <w:t xml:space="preserve">Characteristic</w:t>
      </w:r>
      <w:r>
        <w:t xml:space="preserve"> </w:t>
      </w:r>
      <w:r>
        <w:t xml:space="preserve">Curve</w:t>
      </w:r>
      <w:r>
        <w:t xml:space="preserve"> </w:t>
      </w:r>
      <w:r>
        <w:t xml:space="preserve">Estimation:</w:t>
      </w:r>
      <w:r>
        <w:t xml:space="preserve"> </w:t>
      </w:r>
      <w:r>
        <w:t xml:space="preserve">p-value</w:t>
      </w:r>
      <w:r>
        <w:t xml:space="preserve"> </w:t>
      </w:r>
      <w:r>
        <w:t xml:space="preserve">to</w:t>
      </w:r>
      <w:r>
        <w:t xml:space="preserve"> </w:t>
      </w:r>
      <w:r>
        <w:t xml:space="preserve">b-parameter</w:t>
      </w:r>
      <w:r>
        <w:t xml:space="preserve"> </w:t>
      </w:r>
      <w:r>
        <w:t xml:space="preserve">Scaling</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287. E-mail:</w:t>
      </w:r>
      <w:r>
        <w:t xml:space="preserve"> </w:t>
      </w:r>
      <w:hyperlink r:id="rId20">
        <w:r>
          <w:rPr>
            <w:rStyle w:val="Hyperlink"/>
          </w:rPr>
          <w:t xml:space="preserve">figueirasd1@montclair.edu</w:t>
        </w:r>
      </w:hyperlink>
    </w:p>
    <w:p>
      <w:pPr>
        <w:pStyle w:val="h1-pagebreak"/>
      </w:pPr>
      <w:r>
        <w:t xml:space="preserve">Abstract</w:t>
      </w:r>
    </w:p>
    <w:p>
      <w:pPr>
        <w:pStyle w:val="Textkrper"/>
      </w:pPr>
      <w:r>
        <w:t xml:space="preserve">Item characteristic curves (ICC’s) are visual representations of important attributes of assessment items - most commonly</w:t>
      </w:r>
      <w:r>
        <w:t xml:space="preserve"> </w:t>
      </w:r>
      <w:r>
        <w:rPr>
          <w:iCs/>
          <w:i/>
        </w:rPr>
        <w:t xml:space="preserve">difficulty</w:t>
      </w:r>
      <w:r>
        <w:t xml:space="preserve"> </w:t>
      </w:r>
      <w:r>
        <w:t xml:space="preserve">and</w:t>
      </w:r>
      <w:r>
        <w:t xml:space="preserve"> </w:t>
      </w:r>
      <w:r>
        <w:rPr>
          <w:iCs/>
          <w:i/>
        </w:rPr>
        <w:t xml:space="preserve">discrimination</w:t>
      </w:r>
      <w:r>
        <w:t xml:space="preserve">. Assessment specialists who examine ICC’s usually do so from within the psychometric framework of either Item Response Theory (IRT) or Rasch modeling. We propose an extension of this tradition of item characteristic visualization within the more commonly leveraged Classical Test Theory (CTT) framework. We first simulate binary (e.g., true</w:t>
      </w:r>
      <w:r>
        <w:t xml:space="preserve"> </w:t>
      </w:r>
      <w:r>
        <w:rPr>
          <w:iCs/>
          <w:i/>
        </w:rPr>
        <w:t xml:space="preserve">test</w:t>
      </w:r>
      <w:r>
        <w:t xml:space="preserve">) data with varying item difficulty characteristics to generate empirically-derived linking coefficients between the IRT and CTT difficulty indices. The results of these simulations provided some degree of confidence regarding functional linking invariance. Next, we simulated datasets of varying item characteristic specification and generated ICCs derived from both IRT and CTT frameworks. Differential item functioning (DIF) was estimated by calculating the geometric area between the IRT- and CTT-derived ogives. The DIF was 0.2.</w:t>
      </w:r>
    </w:p>
    <w:p>
      <w:pPr>
        <w:pStyle w:val="Textkrper"/>
      </w:pPr>
      <w:r>
        <w:rPr>
          <w:iCs/>
          <w:i/>
        </w:rPr>
        <w:t xml:space="preserve">Keywords:</w:t>
      </w:r>
      <w:r>
        <w:t xml:space="preserve"> </w:t>
      </w:r>
      <w:r>
        <w:t xml:space="preserve">Classical Test Theory, Item Response Theory, item difficulty, item discrimination</w:t>
      </w:r>
    </w:p>
    <w:p>
      <w:pPr>
        <w:pStyle w:val="Textkrper"/>
      </w:pPr>
      <w:r>
        <w:rPr>
          <w:iCs/>
          <w:i/>
        </w:rPr>
        <w:t xml:space="preserve">Word count:</w:t>
      </w:r>
      <w:r>
        <w:t xml:space="preserve"> </w:t>
      </w:r>
      <w:r>
        <w:t xml:space="preserve">X</w:t>
      </w:r>
    </w:p>
    <w:p>
      <w:pPr>
        <w:pStyle w:val="h1-pagebreak"/>
      </w:pPr>
      <w:r>
        <w:t xml:space="preserve">Classical Test Theory Item Characteristic Curve Estimation: p-value to b-parameter Scaling</w:t>
      </w:r>
    </w:p>
    <w:p>
      <w:pPr>
        <w:pStyle w:val="CaptionedFigure"/>
      </w:pPr>
      <w:r>
        <w:drawing>
          <wp:inline>
            <wp:extent cx="4587290" cy="3669832"/>
            <wp:effectExtent b="0" l="0" r="0" t="0"/>
            <wp:docPr descr="Figure 1.  Item characteristic curves reflecting differences in difficulty and discrimination." title="" id="22" name="Picture"/>
            <a:graphic>
              <a:graphicData uri="http://schemas.openxmlformats.org/drawingml/2006/picture">
                <pic:pic>
                  <pic:nvPicPr>
                    <pic:cNvPr descr="SIOP22_Submission_files/figure-docx/example-1.png" id="23"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Item characteristic curves reflecting differences in difficulty and discrimination.</w:t>
      </w:r>
    </w:p>
    <w:p>
      <w:pPr>
        <w:pStyle w:val="Textkrper"/>
      </w:pPr>
      <w:r>
        <w:t xml:space="preserve">Item characteristic curves are frequently consulted by psychometricians as visual indicators of important attributes of assessment items - most commonly</w:t>
      </w:r>
      <w:r>
        <w:t xml:space="preserve"> </w:t>
      </w:r>
      <w:r>
        <w:rPr>
          <w:iCs/>
          <w:i/>
        </w:rPr>
        <w:t xml:space="preserve">difficulty</w:t>
      </w:r>
      <w:r>
        <w:t xml:space="preserve"> </w:t>
      </w:r>
      <w:r>
        <w:t xml:space="preserve">and</w:t>
      </w:r>
      <w:r>
        <w:t xml:space="preserve"> </w:t>
      </w:r>
      <w:r>
        <w:rPr>
          <w:iCs/>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typically denoted with the greek</w:t>
      </w:r>
      <w:r>
        <w:t xml:space="preserve"> </w:t>
      </w:r>
      <m:oMath>
        <m:r>
          <m:t>θ</m:t>
        </m:r>
      </m:oMath>
      <w:r>
        <w:t xml:space="preserve">), whereas the y-axis displays probabilities of responding to the item within a given response category. In the context of true tests, the response categories are binary</w:t>
      </w:r>
      <w:r>
        <w:rPr>
          <w:rStyle w:val="Funotenzeichen"/>
        </w:rPr>
        <w:footnoteReference w:id="24"/>
      </w:r>
      <w:r>
        <w:t xml:space="preserve">, and the y-axis probability reflects the likelihood of a</w:t>
      </w:r>
      <w:r>
        <w:t xml:space="preserve"> </w:t>
      </w:r>
      <w:r>
        <w:t xml:space="preserve">“</w:t>
      </w:r>
      <w:r>
        <w:t xml:space="preserve">correct</w:t>
      </w:r>
      <w:r>
        <w:t xml:space="preserve">”</w:t>
      </w:r>
      <w:r>
        <w:t xml:space="preserve"> </w:t>
      </w:r>
      <w:r>
        <w:t xml:space="preserve">response</w:t>
      </w:r>
      <w:r>
        <w:rPr>
          <w:rStyle w:val="Funotenzeichen"/>
        </w:rPr>
        <w:footnoteReference w:id="25"/>
      </w:r>
      <w:r>
        <w:t xml:space="preserve">. From this visualization, the observer extracts the relationship between a respondent’s trait level and the expectation of answering the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in the parlance of IRT or Rasch traditions,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Through the lens of IRT, if discrimination is modeled and the curve is sharp (e.g., strongly vertical), this indicates high discrimination; if it is flatter, that is an indication of poorer discrimination (see Figure</w:t>
      </w:r>
      <w:r>
        <w:t xml:space="preserve"> </w:t>
      </w:r>
      <w:r>
        <w:t xml:space="preserve">1</w:t>
      </w:r>
      <w:r>
        <w:t xml:space="preserve">).</w:t>
      </w:r>
    </w:p>
    <w:p>
      <w:pPr>
        <w:pStyle w:val="Textkrper"/>
      </w:pPr>
      <w:r>
        <w:t xml:space="preserve">Assessment specialists who consult ICC’s usually do so from within the psychometric framework of either Item Response Theory (IRT) or Rasch modeling. These frameworks estimate the parameters necessary to plot the ogive functions. Rasch models only estimate difficulty, and assume that differences in discrimination represent flaws in measurement. The IRT 2 parameter logistic model (2PL), however, estimates item discrimination in addition to item difficulty. Item difficulty (the</w:t>
      </w:r>
      <w:r>
        <w:t xml:space="preserve"> </w:t>
      </w:r>
      <w:r>
        <w:rPr>
          <w:iCs/>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Cs/>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Cs/>
          <w:i/>
        </w:rPr>
        <w:t xml:space="preserve">p-value</w:t>
      </w:r>
      <w:r>
        <w:t xml:space="preserve">). Item discrimination can be conveyed via a few different CTT indices, but the most commonly calculated and consulted index is the corrected item-total correlation.</w:t>
      </w:r>
    </w:p>
    <w:p>
      <w:pPr>
        <w:pStyle w:val="Textkrper"/>
      </w:pPr>
      <w:r>
        <w:t xml:space="preserve">Assessment specialists who calculate these CTT item indices don’t typically (to our limited knowledge!) attempt to represent them visually, as is common in IRT and Rasch applications. However, ICC’s based on CTT indices could possibly provide snapshot psychometric information as valuable as those gained from IRT- or Rasch-derived item parameters.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 commonly across samples</w:t>
      </w:r>
      <w:r>
        <w:t xml:space="preserve"> </w:t>
      </w:r>
      <w:r>
        <w:t xml:space="preserve">(Rupp &amp; Zumbo, 2006)</w:t>
      </w:r>
      <w:r>
        <w:t xml:space="preserve">.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state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bookmarkStart w:id="30" w:name="Xa8a50178266edaa56d2c19c2f72d0630a8724a2"/>
    <w:p>
      <w:pPr>
        <w:pStyle w:val="berschrift2"/>
      </w:pPr>
      <w:r>
        <w:t xml:space="preserve">Nature of Relationship between IRT and CTT Indices</w:t>
      </w:r>
    </w:p>
    <w:p>
      <w:pPr>
        <w:pStyle w:val="FirstParagraph"/>
      </w:pPr>
      <w:r>
        <w:t xml:space="preserve">F. Lord (1980)</w:t>
      </w:r>
      <w:r>
        <w:t xml:space="preserve"> </w:t>
      </w:r>
      <w:r>
        <w:t xml:space="preserve">described a function that approximates the nonlinear relationship between the IRT</w:t>
      </w:r>
      <w:r>
        <w:t xml:space="preserve"> </w:t>
      </w:r>
      <w:r>
        <w:rPr>
          <w:iCs/>
          <w:i/>
        </w:rPr>
        <w:t xml:space="preserve">a</w:t>
      </w:r>
      <w:r>
        <w:t xml:space="preserve">-parameter and the CTT discrimination index</w:t>
      </w:r>
      <w:r>
        <w:rPr>
          <w:rStyle w:val="Funotenzeichen"/>
        </w:rPr>
        <w:footnoteReference w:id="26"/>
      </w:r>
      <w:r>
        <w:t xml:space="preserve">:</w:t>
      </w:r>
    </w:p>
    <w:p>
      <w:pPr>
        <w:pStyle w:val="Textkrper"/>
      </w:pPr>
      <m:oMathPara>
        <m:oMathParaPr>
          <m:jc m:val="center"/>
        </m:oMathParaPr>
        <m:oMath>
          <m:sSub>
            <m:e>
              <m:r>
                <m:t>a</m:t>
              </m:r>
            </m:e>
            <m:sub>
              <m:r>
                <m:t>i</m:t>
              </m:r>
            </m:sub>
          </m:sSub>
          <m:r>
            <m:rPr>
              <m:sty m:val="p"/>
            </m:rPr>
            <m:t>≅</m:t>
          </m:r>
          <m:f>
            <m:fPr>
              <m:type m:val="bar"/>
            </m:fPr>
            <m:num>
              <m:sSub>
                <m:e>
                  <m:r>
                    <m:t>r</m:t>
                  </m:r>
                </m:e>
                <m:sub>
                  <m:r>
                    <m:t>i</m:t>
                  </m:r>
                </m:sub>
              </m:sSub>
            </m:num>
            <m:den>
              <m:rad>
                <m:radPr>
                  <m:degHide m:val="1"/>
                </m:radPr>
                <m:deg/>
                <m:e>
                  <m:r>
                    <m:t>1</m:t>
                  </m:r>
                  <m:r>
                    <m:rPr>
                      <m:sty m:val="p"/>
                    </m:rP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p>
      <w:pPr>
        <w:pStyle w:val="Textkrper"/>
      </w:pPr>
      <w:r>
        <w:t xml:space="preserve">An adjustment to</w:t>
      </w:r>
      <w:r>
        <w:t xml:space="preserve"> </w:t>
      </w:r>
      <w:r>
        <w:t xml:space="preserve">F. M. 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rPr>
              <m:sty m:val="p"/>
            </m:rPr>
            <m:t>≅</m:t>
          </m:r>
          <m:d>
            <m:dPr>
              <m:begChr m:val="["/>
              <m:endChr m:val="]"/>
              <m:sepChr m:val=""/>
              <m:grow/>
            </m:dPr>
            <m:e>
              <m:d>
                <m:dPr>
                  <m:begChr m:val="("/>
                  <m:endChr m:val=")"/>
                  <m:sepChr m:val=""/>
                  <m:grow/>
                </m:dPr>
                <m:e>
                  <m:r>
                    <m:t>.51</m:t>
                  </m:r>
                  <m:r>
                    <m:rPr>
                      <m:sty m:val="p"/>
                    </m:rPr>
                    <m:t>+</m:t>
                  </m:r>
                  <m:r>
                    <m:t>.02</m:t>
                  </m:r>
                  <m:sSub>
                    <m:e>
                      <m:r>
                        <m:t>z</m:t>
                      </m:r>
                    </m:e>
                    <m:sub>
                      <m:r>
                        <m:t>g</m:t>
                      </m:r>
                    </m:sub>
                  </m:sSub>
                  <m:r>
                    <m:rPr>
                      <m:sty m:val="p"/>
                    </m:rPr>
                    <m:t>+</m:t>
                  </m:r>
                  <m:r>
                    <m:t>.3</m:t>
                  </m:r>
                  <m:sSubSup>
                    <m:e>
                      <m:r>
                        <m:t>z</m:t>
                      </m:r>
                    </m:e>
                    <m:sub>
                      <m:r>
                        <m:t>g</m:t>
                      </m:r>
                    </m:sub>
                    <m:sup>
                      <m:r>
                        <m:t>2</m:t>
                      </m:r>
                    </m:sup>
                  </m:sSubSup>
                </m:e>
              </m:d>
              <m:r>
                <m:t>r</m:t>
              </m:r>
            </m:e>
          </m:d>
          <m:r>
            <m:rPr>
              <m:sty m:val="p"/>
            </m:rPr>
            <m:t>+</m:t>
          </m:r>
          <m:d>
            <m:dPr>
              <m:begChr m:val="["/>
              <m:endChr m:val="]"/>
              <m:sepChr m:val=""/>
              <m:grow/>
            </m:dPr>
            <m:e>
              <m:d>
                <m:dPr>
                  <m:begChr m:val="("/>
                  <m:endChr m:val=")"/>
                  <m:sepChr m:val=""/>
                  <m:grow/>
                </m:dPr>
                <m:e>
                  <m:r>
                    <m:t>.57</m:t>
                  </m:r>
                  <m:r>
                    <m:rPr>
                      <m:sty m:val="p"/>
                    </m:rPr>
                    <m:t>−</m:t>
                  </m:r>
                  <m:r>
                    <m:t>.009</m:t>
                  </m:r>
                  <m:sSub>
                    <m:e>
                      <m:r>
                        <m:t>z</m:t>
                      </m:r>
                    </m:e>
                    <m:sub>
                      <m:r>
                        <m:t>g</m:t>
                      </m:r>
                    </m:sub>
                  </m:sSub>
                  <m:r>
                    <m:rPr>
                      <m:sty m:val="p"/>
                    </m:rPr>
                    <m:t>+</m:t>
                  </m:r>
                  <m:r>
                    <m:t>.19</m:t>
                  </m:r>
                  <m:sSubSup>
                    <m:e>
                      <m:r>
                        <m:t>z</m:t>
                      </m:r>
                    </m:e>
                    <m:sub>
                      <m:r>
                        <m:t>g</m:t>
                      </m:r>
                    </m:sub>
                    <m:sup>
                      <m:r>
                        <m:t>2</m:t>
                      </m:r>
                    </m:sup>
                  </m:sSubSup>
                </m:e>
              </m:d>
              <m:f>
                <m:fPr>
                  <m:type m:val="bar"/>
                </m:fPr>
                <m:num>
                  <m:sSup>
                    <m:e>
                      <m:r>
                        <m:t>e</m:t>
                      </m:r>
                    </m:e>
                    <m:sup>
                      <m:r>
                        <m:t>r</m:t>
                      </m:r>
                    </m:sup>
                  </m:sSup>
                  <m:r>
                    <m:rPr>
                      <m:sty m:val="p"/>
                    </m:rPr>
                    <m:t>−</m:t>
                  </m:r>
                  <m:sSup>
                    <m:e>
                      <m:r>
                        <m:t>e</m:t>
                      </m:r>
                    </m:e>
                    <m:sup>
                      <m:r>
                        <m:rPr>
                          <m:sty m:val="p"/>
                        </m:rPr>
                        <m:t>−</m:t>
                      </m:r>
                      <m:r>
                        <m:t>r</m:t>
                      </m:r>
                    </m:sup>
                  </m:sSup>
                </m:num>
                <m:den>
                  <m:r>
                    <m:t>e</m:t>
                  </m:r>
                  <m:r>
                    <m:rPr>
                      <m:sty m:val="p"/>
                    </m:rPr>
                    <m:t>−</m:t>
                  </m:r>
                  <m:sSup>
                    <m:e>
                      <m:r>
                        <m:t>e</m:t>
                      </m:r>
                    </m:e>
                    <m:sup>
                      <m:r>
                        <m:t>r</m:t>
                      </m:r>
                    </m:sup>
                  </m:sSup>
                </m:den>
              </m:f>
            </m:e>
          </m:d>
        </m:oMath>
      </m:oMathPara>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28" name="Picture"/>
            <a:graphic>
              <a:graphicData uri="http://schemas.openxmlformats.org/drawingml/2006/picture">
                <pic:pic>
                  <pic:nvPicPr>
                    <pic:cNvPr descr="SIOP22_Submission_files/figure-docx/acorrected-1.png" id="29" name="Picture"/>
                    <pic:cNvPicPr>
                      <a:picLocks noChangeArrowheads="1" noChangeAspect="1"/>
                    </pic:cNvPicPr>
                  </pic:nvPicPr>
                  <pic:blipFill>
                    <a:blip r:embed="rId2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Empricially-derived functional relationship between the IRT</w:t>
      </w:r>
      <w:r>
        <w:t xml:space="preserve"> </w:t>
      </w:r>
      <w:r>
        <w:rPr>
          <w:iCs/>
          <w:i/>
        </w:rPr>
        <w:t xml:space="preserve">a</w:t>
      </w:r>
      <w:r>
        <w:t xml:space="preserve"> </w:t>
      </w:r>
      <w:r>
        <w:t xml:space="preserve">parameter and the CTT corrected-item total correlation as a function of item difficulty (p-value; solid = .5, dashed = .3/.7, dotted = .1/.9).</w:t>
      </w:r>
    </w:p>
    <w:p>
      <w:pPr>
        <w:pStyle w:val="Textkrper"/>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Cs/>
          <w:i/>
        </w:rPr>
        <w:t xml:space="preserve">b</w:t>
      </w:r>
      <w:r>
        <w:t xml:space="preserve">-parameter. Figure</w:t>
      </w:r>
      <w:r>
        <w:t xml:space="preserve"> </w:t>
      </w:r>
      <w:r>
        <w:t xml:space="preserve">2</w:t>
      </w:r>
      <w:r>
        <w:t xml:space="preserve"> </w:t>
      </w:r>
      <w:r>
        <w:t xml:space="preserve">visualizes the re-specifications of Lord’s formula at p-values (difficulty) of .5, .3 (or .7), and .1 (or .9) and highlights the nonlinear nature of this relationship - especially noticeable at high(er) levels of discrimination.</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According to</w:t>
      </w:r>
      <w:r>
        <w:t xml:space="preserve"> </w:t>
      </w:r>
      <w:r>
        <w:t xml:space="preserve">Figueiras (2022)</w:t>
      </w:r>
      <w:r>
        <w:t xml:space="preserve">, they used simulated data to test the overlapping nature of CTT statistics and IRT parameters when plotting ICCs. They used the WinGen program</w:t>
      </w:r>
      <w:r>
        <w:t xml:space="preserve"> </w:t>
      </w:r>
      <w:r>
        <w:t xml:space="preserve">(Han, 2007)</w:t>
      </w:r>
      <w:r>
        <w:t xml:space="preserve"> </w:t>
      </w:r>
      <w:r>
        <w:t xml:space="preserve">and got a sample of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F. M. Lord (2012)</w:t>
      </w:r>
      <w:r>
        <w:t xml:space="preserve">’s formula described earlier was used, as well as the re-scaling for the p-values. They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 When they computed the differences between curves plotted by using IRT estimates and these CTT-derived statistics for all 100 items, they got an average of 0.76.</w:t>
      </w:r>
    </w:p>
    <w:p>
      <w:pPr>
        <w:pStyle w:val="Textkrper"/>
      </w:pPr>
      <w:r>
        <w:t xml:space="preserve">This study intends to build upon</w:t>
      </w:r>
      <w:r>
        <w:t xml:space="preserve"> </w:t>
      </w:r>
      <w:r>
        <w:t xml:space="preserve">Figueiras (2022)</w:t>
      </w:r>
      <w:r>
        <w:t xml:space="preserve">’s work by also looking at differences between ICCs plotted using either IRT or CTT, but this time further modifying the scale of the CTT difficulty estimate. Instead of re-escaling using the regression coefficients estimated from a single IRT simulation, we decided to use five different types of IRT simulations that varied in the shape of their p-value distributions; this is: uniform, normal, inverted, and skewed. Our hypothesis is that the regression slopes of these different conditions will be very similar compared to themselves and that of</w:t>
      </w:r>
      <w:r>
        <w:t xml:space="preserve"> </w:t>
      </w:r>
      <w:r>
        <w:t xml:space="preserve">(</w:t>
      </w:r>
      <w:r>
        <w:rPr>
          <w:bCs/>
          <w:b/>
        </w:rPr>
        <w:t xml:space="preserve">Figueiras2022items?</w:t>
      </w:r>
      <w:r>
        <w:t xml:space="preserve">)</w:t>
      </w:r>
      <w:r>
        <w:t xml:space="preserve"> </w:t>
      </w:r>
      <w:r>
        <w:t xml:space="preserve">and, in consequence, the areas between the curves of IRT and CTT curves will be the same or smaller after this re-scaling, showing that the overlapping nature of ICCs plotted using IRT and CTT parameters isn’t sample dependent.</w:t>
      </w:r>
    </w:p>
    <w:bookmarkEnd w:id="30"/>
    <w:bookmarkStart w:id="46" w:name="study-1"/>
    <w:p>
      <w:pPr>
        <w:pStyle w:val="berschrift1"/>
      </w:pPr>
      <w:r>
        <w:t xml:space="preserve">Study 1</w:t>
      </w:r>
    </w:p>
    <w:p>
      <w:pPr>
        <w:pStyle w:val="FirstParagraph"/>
      </w:pPr>
      <w:r>
        <w:t xml:space="preserve">Establishing relationship between the IRT and CTT difficulty indices.</w:t>
      </w:r>
    </w:p>
    <w:bookmarkStart w:id="34" w:name="method"/>
    <w:p>
      <w:pPr>
        <w:pStyle w:val="berschrift2"/>
      </w:pPr>
      <w:r>
        <w:t xml:space="preserve">Method</w:t>
      </w:r>
    </w:p>
    <w:p>
      <w:pPr>
        <w:pStyle w:val="FirstParagraph"/>
      </w:pPr>
      <w:r>
        <w:t xml:space="preserve">Although the ogives could be specified directly from the CTT-derived statistics, we made a procedural decision to retain the IRT 2PL as our function specification:</w:t>
      </w:r>
    </w:p>
    <w:p>
      <w:pPr>
        <w:pStyle w:val="Textkrper"/>
      </w:pPr>
      <m:oMathPara>
        <m:oMathParaPr>
          <m:jc m:val="center"/>
        </m:oMathParaPr>
        <m:oMath>
          <m:r>
            <m:t>P</m:t>
          </m:r>
          <m:d>
            <m:dPr>
              <m:begChr m:val="("/>
              <m:endChr m:val=")"/>
              <m:sepChr m:val=""/>
              <m:grow/>
            </m:dPr>
            <m:e>
              <m:r>
                <m:t>Θ</m:t>
              </m:r>
            </m:e>
          </m:d>
          <m:r>
            <m:rPr>
              <m:sty m:val="p"/>
            </m:rPr>
            <m:t>=</m:t>
          </m:r>
          <m:f>
            <m:fPr>
              <m:type m:val="bar"/>
            </m:fPr>
            <m:num>
              <m:r>
                <m:t>1</m:t>
              </m:r>
            </m:num>
            <m:den>
              <m:r>
                <m:t>1</m:t>
              </m:r>
              <m:r>
                <m:rPr>
                  <m:sty m:val="p"/>
                </m:rPr>
                <m:t>+</m:t>
              </m:r>
              <m:sSup>
                <m:e>
                  <m:r>
                    <m:t>e</m:t>
                  </m:r>
                </m:e>
                <m:sup>
                  <m:r>
                    <m:rPr>
                      <m:sty m:val="p"/>
                    </m:rPr>
                    <m:t>−</m:t>
                  </m:r>
                  <m:r>
                    <m:t>1.7</m:t>
                  </m:r>
                  <m:r>
                    <m:t>a</m:t>
                  </m:r>
                  <m:d>
                    <m:dPr>
                      <m:begChr m:val="("/>
                      <m:endChr m:val=")"/>
                      <m:sepChr m:val=""/>
                      <m:grow/>
                    </m:dPr>
                    <m:e>
                      <m:r>
                        <m:t>Θ</m:t>
                      </m:r>
                      <m:r>
                        <m:rPr>
                          <m:sty m:val="p"/>
                        </m:rPr>
                        <m:t>−</m:t>
                      </m:r>
                      <m:r>
                        <m:t>b</m:t>
                      </m:r>
                    </m:e>
                  </m:d>
                </m:sup>
              </m:sSup>
            </m:den>
          </m:f>
        </m:oMath>
      </m:oMathPara>
    </w:p>
    <w:p>
      <w:pPr>
        <w:pStyle w:val="FirstParagraph"/>
      </w:pPr>
      <w:r>
        <w:t xml:space="preserve">Our procedure therefore required the estimation of</w:t>
      </w:r>
      <w:r>
        <w:t xml:space="preserve"> </w:t>
      </w:r>
      <w:r>
        <w:t xml:space="preserve">“</w:t>
      </w:r>
      <w:r>
        <w:t xml:space="preserve">pseudo</w:t>
      </w:r>
      <w:r>
        <w:t xml:space="preserve">”</w:t>
      </w:r>
      <w:r>
        <w:t xml:space="preserve"> </w:t>
      </w:r>
      <w:r>
        <w:t xml:space="preserve">IRT parameters from the CTT indices. The</w:t>
      </w:r>
      <w:r>
        <w:t xml:space="preserve"> </w:t>
      </w:r>
      <w:r>
        <w:rPr>
          <w:iCs/>
          <w:i/>
        </w:rPr>
        <w:t xml:space="preserve">a</w:t>
      </w:r>
      <w:r>
        <w:t xml:space="preserve"> </w:t>
      </w:r>
      <w:r>
        <w:t xml:space="preserve">parameter was estimated via the formula specified in</w:t>
      </w:r>
      <w:r>
        <w:t xml:space="preserve"> </w:t>
      </w:r>
      <w:r>
        <w:t xml:space="preserve">Kulas et al. (2017)</w:t>
      </w:r>
      <w:r>
        <w:t xml:space="preserve">, while the</w:t>
      </w:r>
      <w:r>
        <w:t xml:space="preserve"> </w:t>
      </w:r>
      <w:r>
        <w:rPr>
          <w:iCs/>
          <w:i/>
        </w:rPr>
        <w:t xml:space="preserve">b</w:t>
      </w:r>
      <w:r>
        <w:t xml:space="preserve"> </w:t>
      </w:r>
      <w:r>
        <w:t xml:space="preserve">parameter was estimated via linking parameters identified via simulation.</w:t>
      </w:r>
    </w:p>
    <w:p>
      <w:pPr>
        <w:pStyle w:val="Textkrper"/>
      </w:pPr>
      <w:r>
        <w:t xml:space="preserve">In order to estimate the relationship, we simulated items. We used 100 items and generated 5 different distributions of the p-values of the items. The first distribution was uniform, with the p-values all being different, ranging from 0.1 to 0.99. The third distribution was a normal distribution of p-values, centered around 0.5. The fourth distribution was an inverted normal distribution also centered around 0.5. The fifth distribution was a left skewed distribution of p-values, and the sixth was right skewed.</w:t>
      </w:r>
    </w:p>
    <w:p>
      <w:pPr>
        <w:pStyle w:val="Textkrper"/>
      </w:pPr>
      <w:r>
        <w:t xml:space="preserve">Then we computed regressions predicting the b-parameters using the standard normal deviate associated with the p-values on each simulation.</w:t>
      </w:r>
    </w:p>
    <w:p>
      <w:pPr>
        <w:pStyle w:val="CaptionedFigure"/>
      </w:pPr>
      <w:r>
        <w:drawing>
          <wp:inline>
            <wp:extent cx="4587290" cy="3669832"/>
            <wp:effectExtent b="0" l="0" r="0" t="0"/>
            <wp:docPr descr="Figure 3.  Shape of simulated distributions." title="" id="32" name="Picture"/>
            <a:graphic>
              <a:graphicData uri="http://schemas.openxmlformats.org/drawingml/2006/picture">
                <pic:pic>
                  <pic:nvPicPr>
                    <pic:cNvPr descr="SIOP22_Submission_files/figure-docx/simulatedgraphs-1.png" id="33" name="Picture"/>
                    <pic:cNvPicPr>
                      <a:picLocks noChangeArrowheads="1" noChangeAspect="1"/>
                    </pic:cNvPicPr>
                  </pic:nvPicPr>
                  <pic:blipFill>
                    <a:blip r:embed="rId3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Shape of simulated distributions.</w:t>
      </w:r>
    </w:p>
    <w:bookmarkEnd w:id="34"/>
    <w:bookmarkStart w:id="35" w:name="procedure-and-methods"/>
    <w:p>
      <w:pPr>
        <w:pStyle w:val="berschrift2"/>
      </w:pPr>
      <w:r>
        <w:t xml:space="preserve">Procedure and methods</w:t>
      </w:r>
    </w:p>
    <w:p>
      <w:pPr>
        <w:pStyle w:val="FirstParagraph"/>
      </w:pPr>
      <w:r>
        <w:t xml:space="preserve">We built six simulations of IRT data using</w:t>
      </w:r>
      <w:r>
        <w:t xml:space="preserve"> </w:t>
      </w:r>
      <w:r>
        <w:t xml:space="preserve">Nydick (2022)</w:t>
      </w:r>
      <w:r>
        <w:t xml:space="preserve">, each with different shapes and p-values, as can be seen in figure</w:t>
      </w:r>
      <w:r>
        <w:t xml:space="preserve"> </w:t>
      </w:r>
      <w:r>
        <w:t xml:space="preserve">3</w:t>
      </w:r>
      <w:r>
        <w:t xml:space="preserve">. Our goal was to see if CTT statistics and IRT parameters would produce similar ICCs when simulated data of varying distributions are used. Each simulation consisted of 10,000 observations and 100 items. Simulation 1 was uniform, with p-values ranging from 0 to 1. Simultion 2 was a normal distribution with p-values centered around 0.5. Simulation 3 was an inverted U-shaped distribution, with p-values ranging from 0 to 1. Simulation 4 was a left skewed distribution with p-values centered around 0.5, and simulation 5 was a right skewed distribution with p-values centered around 0.5.All simulated distributions had an average a-estimate of 1.42 and average b-estimate of 0.5. We ran each simulation 1,000 times, each with 100 items and 10,000 cases.</w:t>
      </w:r>
    </w:p>
    <w:bookmarkEnd w:id="35"/>
    <w:bookmarkStart w:id="45" w:name="results"/>
    <w:p>
      <w:pPr>
        <w:pStyle w:val="berschrift2"/>
      </w:pPr>
      <w:r>
        <w:t xml:space="preserve">Results</w:t>
      </w:r>
    </w:p>
    <w:p>
      <w:pPr>
        <w:pStyle w:val="FirstParagraph"/>
      </w:pPr>
      <w:r>
        <w:t xml:space="preserve">As shown by figure</w:t>
      </w:r>
      <w:r>
        <w:t xml:space="preserve"> </w:t>
      </w:r>
      <w:r>
        <w:t xml:space="preserve">2</w:t>
      </w:r>
      <w:r>
        <w:t xml:space="preserve">,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F. M. Lord, 2012)</w:t>
      </w:r>
      <w:r>
        <w:t xml:space="preserve">.</w:t>
      </w:r>
      <w:r>
        <w:t xml:space="preserve"> </w:t>
      </w:r>
      <w:r>
        <w:t xml:space="preserve">The resulting regression coefficients for all 5 simulations was an intercept of approximately 0 and a slope of -1.53, indicating that our scaling was not sample dependent, as can be seen in figure</w:t>
      </w:r>
      <w:r>
        <w:t xml:space="preserve"> </w:t>
      </w:r>
      <w:r>
        <w:t xml:space="preserve">4</w:t>
      </w:r>
      <w:r>
        <w:t xml:space="preserve">. In this graph we report the distribution of slopes for all 1,000 simulations per simulation condition. They are all center are about -1.53, with very little deviance in terms of shape, kurtosis, or spread. There were 3,383 cases removed from the overall 500,000 simulated items due to extreme b-estimates.</w:t>
      </w:r>
    </w:p>
    <w:p>
      <w:pPr>
        <w:pStyle w:val="CaptionedFigure"/>
      </w:pPr>
      <w:r>
        <w:drawing>
          <wp:inline>
            <wp:extent cx="4587290" cy="3669832"/>
            <wp:effectExtent b="0" l="0" r="0" t="0"/>
            <wp:docPr descr="Figure 4.  Distribution of slopes for 1,000 simulation ran by condition" title="" id="37" name="Picture"/>
            <a:graphic>
              <a:graphicData uri="http://schemas.openxmlformats.org/drawingml/2006/picture">
                <pic:pic>
                  <pic:nvPicPr>
                    <pic:cNvPr descr="SIOP22_Submission_files/figure-docx/slopes-1.png" id="38"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Distribution of slopes for 1,000 simulation ran by condition</w:t>
      </w:r>
    </w:p>
    <w:p>
      <w:pPr>
        <w:pStyle w:val="CaptionedFigure"/>
      </w:pPr>
      <w:r>
        <w:drawing>
          <wp:inline>
            <wp:extent cx="4587290" cy="3669832"/>
            <wp:effectExtent b="0" l="0" r="0" t="0"/>
            <wp:docPr descr="Figure 5.  Four ICCs highlighting the difference between CTT and IRT-derivated ICCs at different levels of DIF." title="" id="40" name="Picture"/>
            <a:graphic>
              <a:graphicData uri="http://schemas.openxmlformats.org/drawingml/2006/picture">
                <pic:pic>
                  <pic:nvPicPr>
                    <pic:cNvPr descr="SIOP22_Submission_files/figure-docx/plotting-1.png" id="41"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5.</w:t>
      </w:r>
      <w:r>
        <w:rPr>
          <w:iCs/>
          <w:i/>
        </w:rPr>
        <w:t xml:space="preserve"> </w:t>
      </w:r>
      <w:r>
        <w:t xml:space="preserve"> </w:t>
      </w:r>
      <w:r>
        <w:t xml:space="preserve">Four ICCs highlighting the difference between CTT and IRT-derivated ICCs at different levels of DIF.</w:t>
      </w:r>
    </w:p>
    <w:p>
      <w:pPr>
        <w:pStyle w:val="CaptionedFigure"/>
      </w:pPr>
      <w:r>
        <w:drawing>
          <wp:inline>
            <wp:extent cx="4587290" cy="3669832"/>
            <wp:effectExtent b="0" l="0" r="0" t="0"/>
            <wp:docPr descr="Figure 6.  Histogram of all areas between ICCs plotted using IRT parameters vs ICCs plotted using CTT parameters. The graph to the left is plotted without scaling Zg using the regression coefficients specifications from simulated data. The graph to the right is plotted by scaling Zg with these specifications." title="" id="43" name="Picture"/>
            <a:graphic>
              <a:graphicData uri="http://schemas.openxmlformats.org/drawingml/2006/picture">
                <pic:pic>
                  <pic:nvPicPr>
                    <pic:cNvPr descr="SIOP22_Submission_files/figure-docx/histrogram-1.png" id="44"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6.</w:t>
      </w:r>
      <w:r>
        <w:rPr>
          <w:iCs/>
          <w:i/>
        </w:rPr>
        <w:t xml:space="preserve"> </w:t>
      </w:r>
      <w:r>
        <w:t xml:space="preserve"> </w:t>
      </w:r>
      <w:r>
        <w:t xml:space="preserve">Histogram of all areas between ICCs plotted using IRT parameters vs ICCs plotted using CTT parameters. The graph to the left is plotted without scaling Zg using the regression coefficients specifications from simulated data. The graph to the right is plotted by scaling Zg with these specifications.</w:t>
      </w:r>
    </w:p>
    <w:bookmarkEnd w:id="45"/>
    <w:bookmarkEnd w:id="46"/>
    <w:bookmarkStart w:id="50" w:name="X50280b468bb93fe53f1ff14d53a7037dd5ec7a5"/>
    <w:p>
      <w:pPr>
        <w:pStyle w:val="berschrift1"/>
      </w:pPr>
      <w:r>
        <w:t xml:space="preserve">Study 2 - Evaluating the Comparability of IRT and CTT ICC’s</w:t>
      </w:r>
    </w:p>
    <w:p>
      <w:pPr>
        <w:pStyle w:val="FirstParagraph"/>
      </w:pPr>
      <w:r>
        <w:t xml:space="preserve">The purpose of study 2 is to simulate test data and generate ICC’s based on the IRT model. Then we compare that to our CTT estimates and look at the differences. We hypothesize that, on average, not only there won’t be a big difference between the curves plotted with either methodology, but that after our CTT difficulty parameter re-scaling, this difference will remain the same or smaller.</w:t>
      </w:r>
    </w:p>
    <w:bookmarkStart w:id="47" w:name="procedure-and-materials"/>
    <w:p>
      <w:pPr>
        <w:pStyle w:val="berschrift2"/>
      </w:pPr>
      <w:r>
        <w:t xml:space="preserve">Procedure and materials</w:t>
      </w:r>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w:t>
      </w:r>
      <w:r>
        <w:t xml:space="preserve"> </w:t>
      </w:r>
      <w:r>
        <w:t xml:space="preserve">5</w:t>
      </w:r>
      <w:r>
        <w:t xml:space="preserve">,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and estimating pseudo-B using the regression model from the 5 simulations). To quantify the degree of difference between the two curves, the Area Between Curves was computed using R. This procedure was done for all 100 items.</w:t>
      </w:r>
    </w:p>
    <w:bookmarkEnd w:id="47"/>
    <w:bookmarkStart w:id="49" w:name="results-1"/>
    <w:p>
      <w:pPr>
        <w:pStyle w:val="berschrift2"/>
      </w:pPr>
      <w:r>
        <w:t xml:space="preserve">Results</w:t>
      </w:r>
    </w:p>
    <w:p>
      <w:pPr>
        <w:pStyle w:val="FirstParagraph"/>
      </w:pPr>
      <w:r>
        <w:t xml:space="preserve">We used R</w:t>
      </w:r>
      <w:r>
        <w:t xml:space="preserve"> </w:t>
      </w:r>
      <w:r>
        <w:t xml:space="preserve">(Version 4.1.1; R Core Team, 2021)</w:t>
      </w:r>
      <w:r>
        <w:t xml:space="preserve"> </w:t>
      </w:r>
      <w:r>
        <w:t xml:space="preserve">and the R-packages</w:t>
      </w:r>
      <w:r>
        <w:t xml:space="preserve"> </w:t>
      </w:r>
      <w:r>
        <w:rPr>
          <w:iCs/>
          <w:i/>
        </w:rPr>
        <w:t xml:space="preserve">catIrt</w:t>
      </w:r>
      <w:r>
        <w:t xml:space="preserve"> </w:t>
      </w:r>
      <w:r>
        <w:t xml:space="preserve">(Version 0.5.1; Nydick, 2022)</w:t>
      </w:r>
      <w:r>
        <w:t xml:space="preserve">,</w:t>
      </w:r>
      <w:r>
        <w:t xml:space="preserve"> </w:t>
      </w:r>
      <w:r>
        <w:rPr>
          <w:iCs/>
          <w:i/>
        </w:rPr>
        <w:t xml:space="preserve">descr</w:t>
      </w:r>
      <w:r>
        <w:t xml:space="preserve"> </w:t>
      </w:r>
      <w:r>
        <w:t xml:space="preserve">(Version 1.1.5; Dirk Enzmann et al., 2021)</w:t>
      </w:r>
      <w:r>
        <w:t xml:space="preserve">,</w:t>
      </w:r>
      <w:r>
        <w:t xml:space="preserve"> </w:t>
      </w:r>
      <w:r>
        <w:rPr>
          <w:iCs/>
          <w:i/>
        </w:rPr>
        <w:t xml:space="preserve">dplyr</w:t>
      </w:r>
      <w:r>
        <w:t xml:space="preserve"> </w:t>
      </w:r>
      <w:r>
        <w:t xml:space="preserve">(Version 1.0.9; Wickham, François, et al., 2022)</w:t>
      </w:r>
      <w:r>
        <w:t xml:space="preserve">,</w:t>
      </w:r>
      <w:r>
        <w:t xml:space="preserve"> </w:t>
      </w:r>
      <w:r>
        <w:rPr>
          <w:iCs/>
          <w:i/>
        </w:rPr>
        <w:t xml:space="preserve">faux</w:t>
      </w:r>
      <w:r>
        <w:t xml:space="preserve"> </w:t>
      </w:r>
      <w:r>
        <w:t xml:space="preserve">(Version 1.1.0; DeBruine, 2021)</w:t>
      </w:r>
      <w:r>
        <w:t xml:space="preserve">,</w:t>
      </w:r>
      <w:r>
        <w:t xml:space="preserve"> </w:t>
      </w:r>
      <w:r>
        <w:rPr>
          <w:iCs/>
          <w:i/>
        </w:rPr>
        <w:t xml:space="preserve">fGarch</w:t>
      </w:r>
      <w:r>
        <w:t xml:space="preserve"> </w:t>
      </w:r>
      <w:r>
        <w:t xml:space="preserve">(Version 4021.87; Wuertz et al., 2022)</w:t>
      </w:r>
      <w:r>
        <w:t xml:space="preserve">,</w:t>
      </w:r>
      <w:r>
        <w:t xml:space="preserve"> </w:t>
      </w:r>
      <w:r>
        <w:rPr>
          <w:iCs/>
          <w:i/>
        </w:rPr>
        <w:t xml:space="preserve">forcats</w:t>
      </w:r>
      <w:r>
        <w:t xml:space="preserve"> </w:t>
      </w:r>
      <w:r>
        <w:t xml:space="preserve">(Version 0.5.1; Wickham, 2021)</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lattice</w:t>
      </w:r>
      <w:r>
        <w:t xml:space="preserve"> </w:t>
      </w:r>
      <w:r>
        <w:t xml:space="preserve">(Version 0.20.44; Sarkar, 2008; Sarkar &amp; Andrews, 2019)</w:t>
      </w:r>
      <w:r>
        <w:t xml:space="preserve">,</w:t>
      </w:r>
      <w:r>
        <w:t xml:space="preserve"> </w:t>
      </w:r>
      <w:r>
        <w:rPr>
          <w:iCs/>
          <w:i/>
        </w:rPr>
        <w:t xml:space="preserve">latticeExtra</w:t>
      </w:r>
      <w:r>
        <w:t xml:space="preserve"> </w:t>
      </w:r>
      <w:r>
        <w:t xml:space="preserve">(Version 0.6.29; Sarkar &amp; Andrews, 2019)</w:t>
      </w:r>
      <w:r>
        <w:t xml:space="preserve">,</w:t>
      </w:r>
      <w:r>
        <w:t xml:space="preserve"> </w:t>
      </w:r>
      <w:r>
        <w:rPr>
          <w:iCs/>
          <w:i/>
        </w:rPr>
        <w:t xml:space="preserve">mirt</w:t>
      </w:r>
      <w:r>
        <w:t xml:space="preserve"> </w:t>
      </w:r>
      <w:r>
        <w:t xml:space="preserve">(Version 1.35.1; Chalmers, 2012)</w:t>
      </w:r>
      <w:r>
        <w:t xml:space="preserve">,</w:t>
      </w:r>
      <w:r>
        <w:t xml:space="preserve"> </w:t>
      </w:r>
      <w:r>
        <w:rPr>
          <w:iCs/>
          <w:i/>
        </w:rPr>
        <w:t xml:space="preserve">numDeriv</w:t>
      </w:r>
      <w:r>
        <w:t xml:space="preserve"> </w:t>
      </w:r>
      <w:r>
        <w:t xml:space="preserve">(Version 2016.8.1.1; Gilbert &amp; Varadhan, 2019)</w:t>
      </w:r>
      <w:r>
        <w:t xml:space="preserve">,</w:t>
      </w:r>
      <w:r>
        <w:t xml:space="preserve"> </w:t>
      </w:r>
      <w:r>
        <w:rPr>
          <w:iCs/>
          <w:i/>
        </w:rPr>
        <w:t xml:space="preserve">papaja</w:t>
      </w:r>
      <w:r>
        <w:t xml:space="preserve"> </w:t>
      </w:r>
      <w:r>
        <w:t xml:space="preserve">(Version 0.1.1; Aust &amp; Barth, 2022)</w:t>
      </w:r>
      <w:r>
        <w:t xml:space="preserve">,</w:t>
      </w:r>
      <w:r>
        <w:t xml:space="preserve"> </w:t>
      </w:r>
      <w:r>
        <w:rPr>
          <w:iCs/>
          <w:i/>
        </w:rPr>
        <w:t xml:space="preserve">psych</w:t>
      </w:r>
      <w:r>
        <w:t xml:space="preserve"> </w:t>
      </w:r>
      <w:r>
        <w:t xml:space="preserve">(Version 2.2.9; Revelle, 2022)</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2.1.3; Wickham, Hester, et al., 2022)</w:t>
      </w:r>
      <w:r>
        <w:t xml:space="preserve">,</w:t>
      </w:r>
      <w:r>
        <w:t xml:space="preserve"> </w:t>
      </w:r>
      <w:r>
        <w:rPr>
          <w:iCs/>
          <w:i/>
        </w:rPr>
        <w:t xml:space="preserve">reticulate</w:t>
      </w:r>
      <w:r>
        <w:t xml:space="preserve"> </w:t>
      </w:r>
      <w:r>
        <w:t xml:space="preserve">(Version 1.22; Ushey et al., 2021)</w:t>
      </w:r>
      <w:r>
        <w:t xml:space="preserve">,</w:t>
      </w:r>
      <w:r>
        <w:t xml:space="preserve"> </w:t>
      </w:r>
      <w:r>
        <w:rPr>
          <w:iCs/>
          <w:i/>
        </w:rPr>
        <w:t xml:space="preserve">scales</w:t>
      </w:r>
      <w:r>
        <w:t xml:space="preserve"> </w:t>
      </w:r>
      <w:r>
        <w:t xml:space="preserve">(Version 1.2.0; Wickham &amp; Seidel, 2022)</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3.1.7; Müller &amp; Wickham, 2022)</w:t>
      </w:r>
      <w:r>
        <w:t xml:space="preserve">,</w:t>
      </w:r>
      <w:r>
        <w:t xml:space="preserve"> </w:t>
      </w:r>
      <w:r>
        <w:rPr>
          <w:iCs/>
          <w:i/>
        </w:rPr>
        <w:t xml:space="preserve">tidyr</w:t>
      </w:r>
      <w:r>
        <w:t xml:space="preserve"> </w:t>
      </w:r>
      <w:r>
        <w:t xml:space="preserve">(Version 1.2.0; Wickham &amp; Girlich, 2022)</w:t>
      </w:r>
      <w:r>
        <w:t xml:space="preserve">,</w:t>
      </w:r>
      <w:r>
        <w:t xml:space="preserve"> </w:t>
      </w:r>
      <w:r>
        <w:rPr>
          <w:iCs/>
          <w:i/>
        </w:rPr>
        <w:t xml:space="preserve">tidyverse</w:t>
      </w:r>
      <w:r>
        <w:t xml:space="preserve"> </w:t>
      </w:r>
      <w:r>
        <w:t xml:space="preserve">(Version 1.3.2; Wickham et al., 2019)</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p>
      <w:pPr>
        <w:pStyle w:val="Textkrper"/>
      </w:pPr>
      <w:r>
        <w:t xml:space="preserve">The area between ICC’s was calculated between CTT-derived and IRT-derived ICC’s. The average difference for all 100 curves was 0.21</w:t>
      </w:r>
      <w:r>
        <w:rPr>
          <w:rStyle w:val="Funotenzeichen"/>
        </w:rPr>
        <w:footnoteReference w:id="48"/>
      </w:r>
      <w:r>
        <w:t xml:space="preserve">. As we can see in figure</w:t>
      </w:r>
      <w:r>
        <w:t xml:space="preserve"> </w:t>
      </w:r>
      <w:r>
        <w:t xml:space="preserve">??</w:t>
      </w:r>
      <w:r>
        <w:t xml:space="preserve">, most of the data is skewed towards the lower end, indicating that out of the 100 items, most of them have areas between the curves of less than 0.21. This diff was computed after scaling our Zg using the coefficients estimated with our simulations.Without the regression coefficient modifier the average area under the curves were 0.80. We ran a test of significance between these two means. Our results are</w:t>
      </w:r>
      <w:r>
        <w:t xml:space="preserve"> </w:t>
      </w:r>
      <m:oMath>
        <m:r>
          <m:t>t</m:t>
        </m:r>
        <m:d>
          <m:dPr>
            <m:begChr m:val="("/>
            <m:endChr m:val=")"/>
            <m:sepChr m:val=""/>
            <m:grow/>
          </m:dPr>
          <m:e>
            <m:r>
              <m:t>99</m:t>
            </m:r>
          </m:e>
        </m:d>
        <m:r>
          <m:rPr>
            <m:sty m:val="p"/>
          </m:rPr>
          <m:t>=</m:t>
        </m:r>
        <m:r>
          <m:t>11.72</m:t>
        </m:r>
      </m:oMath>
      <w:r>
        <w:t xml:space="preserve">,</w:t>
      </w:r>
      <w:r>
        <w:t xml:space="preserve"> </w:t>
      </w:r>
      <m:oMath>
        <m:r>
          <m:t>p</m:t>
        </m:r>
        <m:r>
          <m:rPr>
            <m:sty m:val="p"/>
          </m:rPr>
          <m:t>&lt;</m:t>
        </m:r>
        <m:r>
          <m:t>.001</m:t>
        </m:r>
      </m:oMath>
      <w:r>
        <w:t xml:space="preserve">.</w:t>
      </w:r>
      <w:r>
        <w:br/>
      </w:r>
      <w:r>
        <w:t xml:space="preserve">Four random items were selected and plotted in figure</w:t>
      </w:r>
      <w:r>
        <w:t xml:space="preserve"> </w:t>
      </w:r>
      <w:r>
        <w:t xml:space="preserve">5</w:t>
      </w:r>
      <w:r>
        <w:t xml:space="preserve"> </w:t>
      </w:r>
      <w:r>
        <w:t xml:space="preserve">using IRT and CTT-derived statistics. The blue curves were plotted using a IRT 2PL model, while the red curves were plotted with CTT-derived parameters.</w:t>
      </w:r>
    </w:p>
    <w:bookmarkEnd w:id="49"/>
    <w:bookmarkEnd w:id="50"/>
    <w:bookmarkStart w:id="51" w:name="discussion"/>
    <w:p>
      <w:pPr>
        <w:pStyle w:val="berschrift1"/>
      </w:pPr>
      <w:r>
        <w:t xml:space="preserve">Discussion</w:t>
      </w:r>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following</w:t>
      </w:r>
      <w:r>
        <w:t xml:space="preserve"> </w:t>
      </w:r>
      <w:r>
        <w:t xml:space="preserve">Figueiras (2022)</w:t>
      </w:r>
      <w:r>
        <w:t xml:space="preserve">’s work, we first propose an application of ICC’s with CTT indices, then we simulated data and quantified similarities and discrepancies between the IRT- and CTT-generated ICC’s. Our hypothesis was that the Area Between Curves of these different ICC’s would not only be small, but remain so (or become even smaller) if the difficulty CTT statistic was re-scaled using regression specifications from 5 IRT simulations that differed in the shape of the distribution of it’s items. Area between curves for 100 items was 0.76 on average without re-scaling this statistic, and 0.21 when the res-caling was done. This result indicates that curves plotted with either IRT or CTT parameters show little difference. The nature of both models is mostly overlapping when it comes to plotting visual representations such as ICC’s. Even though there was a significant difference in the area between curves before and after re-scaling, this shows that the differences are even smaller after re-scaling, supporting our hypothesis that the shape of the distribution of p-values plays no role in the overlapping nature of ICCs plotted from IRT and CTT parameters. In other words, this relation is not sample dependent. Practitioners and researchers that don’t use IRT or Rasch models and instead opt to follow a CTT philosophy would benefit from having ICC’s that use CTT statistics.</w:t>
      </w:r>
    </w:p>
    <w:p>
      <w:pPr>
        <w:pStyle w:val="Textkrper"/>
      </w:pPr>
      <w:r>
        <w:t xml:space="preserve">Of course there is always an intractability between the CTT item-difficulty index and respondent sample ability. The findings of previous comparison studies, however, point to the CTT estimates exhibiting some degree of invariance across respondent samples.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bookmarkEnd w:id="51"/>
    <w:bookmarkStart w:id="109" w:name="references"/>
    <w:p>
      <w:pPr>
        <w:pStyle w:val="berschrift1"/>
      </w:pPr>
      <w:r>
        <w:t xml:space="preserve">References</w:t>
      </w:r>
    </w:p>
    <w:bookmarkStart w:id="108" w:name="refs"/>
    <w:bookmarkStart w:id="53"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2">
        <w:r>
          <w:rPr>
            <w:rStyle w:val="Hyperlink"/>
          </w:rPr>
          <w:t xml:space="preserve">https://github.com/crsh/papaja</w:t>
        </w:r>
      </w:hyperlink>
    </w:p>
    <w:bookmarkEnd w:id="53"/>
    <w:bookmarkStart w:id="55"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54">
        <w:r>
          <w:rPr>
            <w:rStyle w:val="Hyperlink"/>
          </w:rPr>
          <w:t xml:space="preserve">https://cran.r-project.org/package=tinylabels</w:t>
        </w:r>
      </w:hyperlink>
    </w:p>
    <w:bookmarkEnd w:id="55"/>
    <w:bookmarkStart w:id="57" w:name="ref-R-mirt"/>
    <w:p>
      <w:pPr>
        <w:pStyle w:val="Literaturverzeichnis"/>
      </w:pPr>
      <w:r>
        <w:t xml:space="preserve">Chalmers, R. P. (2012).</w:t>
      </w:r>
      <w:r>
        <w:t xml:space="preserve"> </w:t>
      </w:r>
      <w:r>
        <w:t xml:space="preserve">mirt</w:t>
      </w:r>
      <w:r>
        <w:t xml:space="preserve">: A multidimensional item response theory package for the</w:t>
      </w:r>
      <w:r>
        <w:t xml:space="preserve"> </w:t>
      </w:r>
      <w:r>
        <w:t xml:space="preserve">R</w:t>
      </w:r>
      <w:r>
        <w:t xml:space="preserve"> </w:t>
      </w:r>
      <w:r>
        <w:t xml:space="preserve">environment.</w:t>
      </w:r>
      <w:r>
        <w:t xml:space="preserve"> </w:t>
      </w:r>
      <w:r>
        <w:rPr>
          <w:iCs/>
          <w:i/>
        </w:rPr>
        <w:t xml:space="preserve">Journal of Statistical Software</w:t>
      </w:r>
      <w:r>
        <w:t xml:space="preserve">,</w:t>
      </w:r>
      <w:r>
        <w:t xml:space="preserve"> </w:t>
      </w:r>
      <w:r>
        <w:rPr>
          <w:iCs/>
          <w:i/>
        </w:rPr>
        <w:t xml:space="preserve">48</w:t>
      </w:r>
      <w:r>
        <w:t xml:space="preserve">(6), 1–29.</w:t>
      </w:r>
      <w:r>
        <w:t xml:space="preserve"> </w:t>
      </w:r>
      <w:hyperlink r:id="rId56">
        <w:r>
          <w:rPr>
            <w:rStyle w:val="Hyperlink"/>
          </w:rPr>
          <w:t xml:space="preserve">https://doi.org/10.18637/jss.v048.i06</w:t>
        </w:r>
      </w:hyperlink>
    </w:p>
    <w:bookmarkEnd w:id="57"/>
    <w:bookmarkStart w:id="59" w:name="ref-R-faux"/>
    <w:p>
      <w:pPr>
        <w:pStyle w:val="Literaturverzeichnis"/>
      </w:pPr>
      <w:r>
        <w:t xml:space="preserve">DeBruine, L. (2021).</w:t>
      </w:r>
      <w:r>
        <w:t xml:space="preserve"> </w:t>
      </w:r>
      <w:r>
        <w:rPr>
          <w:iCs/>
          <w:i/>
        </w:rPr>
        <w:t xml:space="preserve">Faux: Simulation for factorial designs</w:t>
      </w:r>
      <w:r>
        <w:t xml:space="preserve">. Zenodo.</w:t>
      </w:r>
      <w:r>
        <w:t xml:space="preserve"> </w:t>
      </w:r>
      <w:hyperlink r:id="rId58">
        <w:r>
          <w:rPr>
            <w:rStyle w:val="Hyperlink"/>
          </w:rPr>
          <w:t xml:space="preserve">https://doi.org/10.5281/zenodo.2669586</w:t>
        </w:r>
      </w:hyperlink>
    </w:p>
    <w:bookmarkEnd w:id="59"/>
    <w:bookmarkStart w:id="61" w:name="ref-R-descr"/>
    <w:p>
      <w:pPr>
        <w:pStyle w:val="Literaturverzeichnis"/>
      </w:pPr>
      <w:r>
        <w:t xml:space="preserve">Dirk Enzmann, J. Aquino. I. R. source code and/or documentation written by, Schwartz, M., Jain, N., &amp; Kraft, S. (2021).</w:t>
      </w:r>
      <w:r>
        <w:t xml:space="preserve"> </w:t>
      </w:r>
      <w:r>
        <w:rPr>
          <w:iCs/>
          <w:i/>
        </w:rPr>
        <w:t xml:space="preserve">Descr: Descriptive statistics</w:t>
      </w:r>
      <w:r>
        <w:t xml:space="preserve">.</w:t>
      </w:r>
      <w:r>
        <w:t xml:space="preserve"> </w:t>
      </w:r>
      <w:hyperlink r:id="rId60">
        <w:r>
          <w:rPr>
            <w:rStyle w:val="Hyperlink"/>
          </w:rPr>
          <w:t xml:space="preserve">https://CRAN.R-project.org/package=descr</w:t>
        </w:r>
      </w:hyperlink>
    </w:p>
    <w:bookmarkEnd w:id="61"/>
    <w:bookmarkStart w:id="62" w:name="ref-fan1998item"/>
    <w:p>
      <w:pPr>
        <w:pStyle w:val="Literaturverzeichnis"/>
      </w:pPr>
      <w:r>
        <w:t xml:space="preserve">Fan, X. (1998). Item response theory and classical test theory: An empirical comparison of their item/person statistics.</w:t>
      </w:r>
      <w:r>
        <w:t xml:space="preserve"> </w:t>
      </w:r>
      <w:r>
        <w:rPr>
          <w:iCs/>
          <w:i/>
        </w:rPr>
        <w:t xml:space="preserve">Educational and Psychological Measurement</w:t>
      </w:r>
      <w:r>
        <w:t xml:space="preserve">,</w:t>
      </w:r>
      <w:r>
        <w:t xml:space="preserve"> </w:t>
      </w:r>
      <w:r>
        <w:rPr>
          <w:iCs/>
          <w:i/>
        </w:rPr>
        <w:t xml:space="preserve">58</w:t>
      </w:r>
      <w:r>
        <w:t xml:space="preserve">(3), 357–381.</w:t>
      </w:r>
    </w:p>
    <w:bookmarkEnd w:id="62"/>
    <w:bookmarkStart w:id="63" w:name="ref-Figueiras2022item"/>
    <w:p>
      <w:pPr>
        <w:pStyle w:val="Literaturverzeichnis"/>
      </w:pPr>
      <w:r>
        <w:t xml:space="preserve">Figueiras, K., Diego. (2022).</w:t>
      </w:r>
      <w:r>
        <w:t xml:space="preserve"> </w:t>
      </w:r>
      <w:r>
        <w:rPr>
          <w:iCs/>
          <w:i/>
        </w:rPr>
        <w:t xml:space="preserve">Item characteristic curve estimation from common classical test theory indices</w:t>
      </w:r>
      <w:r>
        <w:t xml:space="preserve">. SIOP.</w:t>
      </w:r>
    </w:p>
    <w:bookmarkEnd w:id="63"/>
    <w:bookmarkStart w:id="65" w:name="ref-R-numDeriv"/>
    <w:p>
      <w:pPr>
        <w:pStyle w:val="Literaturverzeichnis"/>
      </w:pPr>
      <w:r>
        <w:t xml:space="preserve">Gilbert, P., &amp; Varadhan, R. (2019).</w:t>
      </w:r>
      <w:r>
        <w:t xml:space="preserve"> </w:t>
      </w:r>
      <w:r>
        <w:rPr>
          <w:iCs/>
          <w:i/>
        </w:rPr>
        <w:t xml:space="preserve">numDeriv: Accurate numerical derivatives</w:t>
      </w:r>
      <w:r>
        <w:t xml:space="preserve">.</w:t>
      </w:r>
      <w:r>
        <w:t xml:space="preserve"> </w:t>
      </w:r>
      <w:hyperlink r:id="rId64">
        <w:r>
          <w:rPr>
            <w:rStyle w:val="Hyperlink"/>
          </w:rPr>
          <w:t xml:space="preserve">https://CRAN.R-project.org/package=numDeriv</w:t>
        </w:r>
      </w:hyperlink>
    </w:p>
    <w:bookmarkEnd w:id="65"/>
    <w:bookmarkStart w:id="66" w:name="ref-hambleton1993comparison"/>
    <w:p>
      <w:pPr>
        <w:pStyle w:val="Literaturverzeichnis"/>
      </w:pPr>
      <w:r>
        <w:t xml:space="preserve">Hambleton, R. K., &amp; Jones, R. W. (1993). Comparison of classical test theory and item response theory and their applications to test development.</w:t>
      </w:r>
      <w:r>
        <w:t xml:space="preserve"> </w:t>
      </w:r>
      <w:r>
        <w:rPr>
          <w:iCs/>
          <w:i/>
        </w:rPr>
        <w:t xml:space="preserve">Educational Measurement: Issues and Practice</w:t>
      </w:r>
      <w:r>
        <w:t xml:space="preserve">,</w:t>
      </w:r>
      <w:r>
        <w:t xml:space="preserve"> </w:t>
      </w:r>
      <w:r>
        <w:rPr>
          <w:iCs/>
          <w:i/>
        </w:rPr>
        <w:t xml:space="preserve">12</w:t>
      </w:r>
      <w:r>
        <w:t xml:space="preserve">(3), 38–47.</w:t>
      </w:r>
    </w:p>
    <w:bookmarkEnd w:id="66"/>
    <w:bookmarkStart w:id="67" w:name="ref-han2007wingen3"/>
    <w:p>
      <w:pPr>
        <w:pStyle w:val="Literaturverzeichnis"/>
      </w:pPr>
      <w:r>
        <w:t xml:space="preserve">Han, K. T. (2007). WinGen: Windows software that generates IRT parameters and item responses.</w:t>
      </w:r>
      <w:r>
        <w:t xml:space="preserve"> </w:t>
      </w:r>
      <w:r>
        <w:rPr>
          <w:iCs/>
          <w:i/>
        </w:rPr>
        <w:t xml:space="preserve">Applied Psychological Measurement</w:t>
      </w:r>
      <w:r>
        <w:t xml:space="preserve">,</w:t>
      </w:r>
      <w:r>
        <w:t xml:space="preserve"> </w:t>
      </w:r>
      <w:r>
        <w:rPr>
          <w:iCs/>
          <w:i/>
        </w:rPr>
        <w:t xml:space="preserve">31</w:t>
      </w:r>
      <w:r>
        <w:t xml:space="preserve">(5), 457–459.</w:t>
      </w:r>
    </w:p>
    <w:bookmarkEnd w:id="67"/>
    <w:bookmarkStart w:id="69" w:name="ref-R-purrr"/>
    <w:p>
      <w:pPr>
        <w:pStyle w:val="Literaturverzeichnis"/>
      </w:pPr>
      <w:r>
        <w:t xml:space="preserve">Henry, L., &amp; Wickham, H. (2020).</w:t>
      </w:r>
      <w:r>
        <w:t xml:space="preserve"> </w:t>
      </w:r>
      <w:r>
        <w:rPr>
          <w:iCs/>
          <w:i/>
        </w:rPr>
        <w:t xml:space="preserve">Purrr: Functional programming tools</w:t>
      </w:r>
      <w:r>
        <w:t xml:space="preserve">.</w:t>
      </w:r>
      <w:r>
        <w:t xml:space="preserve"> </w:t>
      </w:r>
      <w:hyperlink r:id="rId68">
        <w:r>
          <w:rPr>
            <w:rStyle w:val="Hyperlink"/>
          </w:rPr>
          <w:t xml:space="preserve">https://CRAN.R-project.org/package=purrr</w:t>
        </w:r>
      </w:hyperlink>
    </w:p>
    <w:bookmarkEnd w:id="69"/>
    <w:bookmarkStart w:id="70" w:name="ref-kulas2017approximate"/>
    <w:p>
      <w:pPr>
        <w:pStyle w:val="Literaturverzeichnis"/>
      </w:pPr>
      <w:r>
        <w:t xml:space="preserve">Kulas, J. T., Smith, J. A., &amp; Xu, H. (2017). Approximate functional relationship between IRT and CTT item discrimination indices: A simulation, validation, and practical extension of</w:t>
      </w:r>
      <w:r>
        <w:t xml:space="preserve"> </w:t>
      </w:r>
      <w:r>
        <w:t xml:space="preserve">Lord’s</w:t>
      </w:r>
      <w:r>
        <w:t xml:space="preserve"> </w:t>
      </w:r>
      <w:r>
        <w:t xml:space="preserve">(1980) formula.</w:t>
      </w:r>
      <w:r>
        <w:t xml:space="preserve"> </w:t>
      </w:r>
      <w:r>
        <w:rPr>
          <w:iCs/>
          <w:i/>
        </w:rPr>
        <w:t xml:space="preserve">Journal of Applied Measurement</w:t>
      </w:r>
      <w:r>
        <w:t xml:space="preserve">,</w:t>
      </w:r>
      <w:r>
        <w:t xml:space="preserve"> </w:t>
      </w:r>
      <w:r>
        <w:rPr>
          <w:iCs/>
          <w:i/>
        </w:rPr>
        <w:t xml:space="preserve">18</w:t>
      </w:r>
      <w:r>
        <w:t xml:space="preserve">(4), 393–407.</w:t>
      </w:r>
    </w:p>
    <w:bookmarkEnd w:id="70"/>
    <w:bookmarkStart w:id="71" w:name="ref-lord1980applications"/>
    <w:p>
      <w:pPr>
        <w:pStyle w:val="Literaturverzeichnis"/>
      </w:pPr>
      <w:r>
        <w:t xml:space="preserve">Lord, F. (1980).</w:t>
      </w:r>
      <w:r>
        <w:t xml:space="preserve"> </w:t>
      </w:r>
      <w:r>
        <w:rPr>
          <w:iCs/>
          <w:i/>
        </w:rPr>
        <w:t xml:space="preserve">Applications of IRT to practical problems</w:t>
      </w:r>
      <w:r>
        <w:t xml:space="preserve">. Hillsdale: Lawrence Erlbaum Associates.</w:t>
      </w:r>
    </w:p>
    <w:bookmarkEnd w:id="71"/>
    <w:bookmarkStart w:id="72" w:name="ref-lord2012applications"/>
    <w:p>
      <w:pPr>
        <w:pStyle w:val="Literaturverzeichnis"/>
      </w:pPr>
      <w:r>
        <w:t xml:space="preserve">Lord, F. M. (2012).</w:t>
      </w:r>
      <w:r>
        <w:t xml:space="preserve"> </w:t>
      </w:r>
      <w:r>
        <w:rPr>
          <w:iCs/>
          <w:i/>
        </w:rPr>
        <w:t xml:space="preserve">Applications of item response theory to practical testing problems</w:t>
      </w:r>
      <w:r>
        <w:t xml:space="preserve">. Routledge.</w:t>
      </w:r>
    </w:p>
    <w:bookmarkEnd w:id="72"/>
    <w:bookmarkStart w:id="73" w:name="ref-masters1982rasch"/>
    <w:p>
      <w:pPr>
        <w:pStyle w:val="Literaturverzeichnis"/>
      </w:pPr>
      <w:r>
        <w:t xml:space="preserve">Masters, G. N. (1982). A rasch model for partial credit scoring.</w:t>
      </w:r>
      <w:r>
        <w:t xml:space="preserve"> </w:t>
      </w:r>
      <w:r>
        <w:rPr>
          <w:iCs/>
          <w:i/>
        </w:rPr>
        <w:t xml:space="preserve">Psychometrika</w:t>
      </w:r>
      <w:r>
        <w:t xml:space="preserve">,</w:t>
      </w:r>
      <w:r>
        <w:t xml:space="preserve"> </w:t>
      </w:r>
      <w:r>
        <w:rPr>
          <w:iCs/>
          <w:i/>
        </w:rPr>
        <w:t xml:space="preserve">47</w:t>
      </w:r>
      <w:r>
        <w:t xml:space="preserve">(2), 149–174.</w:t>
      </w:r>
    </w:p>
    <w:bookmarkEnd w:id="73"/>
    <w:bookmarkStart w:id="75" w:name="ref-R-tibble"/>
    <w:p>
      <w:pPr>
        <w:pStyle w:val="Literaturverzeichnis"/>
      </w:pPr>
      <w:r>
        <w:t xml:space="preserve">Müller, K., &amp; Wickham, H. (2022).</w:t>
      </w:r>
      <w:r>
        <w:t xml:space="preserve"> </w:t>
      </w:r>
      <w:r>
        <w:rPr>
          <w:iCs/>
          <w:i/>
        </w:rPr>
        <w:t xml:space="preserve">Tibble: Simple data frames</w:t>
      </w:r>
      <w:r>
        <w:t xml:space="preserve">.</w:t>
      </w:r>
      <w:r>
        <w:t xml:space="preserve"> </w:t>
      </w:r>
      <w:hyperlink r:id="rId74">
        <w:r>
          <w:rPr>
            <w:rStyle w:val="Hyperlink"/>
          </w:rPr>
          <w:t xml:space="preserve">https://CRAN.R-project.org/package=tibble</w:t>
        </w:r>
      </w:hyperlink>
    </w:p>
    <w:bookmarkEnd w:id="75"/>
    <w:bookmarkStart w:id="76" w:name="ref-muraki1997generalized"/>
    <w:p>
      <w:pPr>
        <w:pStyle w:val="Literaturverzeichnis"/>
      </w:pPr>
      <w:r>
        <w:t xml:space="preserve">Muraki, E. (1997). A generalized partial credit model. In</w:t>
      </w:r>
      <w:r>
        <w:t xml:space="preserve"> </w:t>
      </w:r>
      <w:r>
        <w:rPr>
          <w:iCs/>
          <w:i/>
        </w:rPr>
        <w:t xml:space="preserve">Handbook of modern item response theory</w:t>
      </w:r>
      <w:r>
        <w:t xml:space="preserve"> </w:t>
      </w:r>
      <w:r>
        <w:t xml:space="preserve">(pp. 153–164). Springer.</w:t>
      </w:r>
    </w:p>
    <w:bookmarkEnd w:id="76"/>
    <w:bookmarkStart w:id="78" w:name="ref-R-catIrt"/>
    <w:p>
      <w:pPr>
        <w:pStyle w:val="Literaturverzeichnis"/>
      </w:pPr>
      <w:r>
        <w:t xml:space="preserve">Nydick, S. (2022).</w:t>
      </w:r>
      <w:r>
        <w:t xml:space="preserve"> </w:t>
      </w:r>
      <w:r>
        <w:rPr>
          <w:iCs/>
          <w:i/>
        </w:rPr>
        <w:t xml:space="preserve">catIrt: Simulate IRT-based computerized adaptive tests</w:t>
      </w:r>
      <w:r>
        <w:t xml:space="preserve">.</w:t>
      </w:r>
      <w:r>
        <w:t xml:space="preserve"> </w:t>
      </w:r>
      <w:hyperlink r:id="rId77">
        <w:r>
          <w:rPr>
            <w:rStyle w:val="Hyperlink"/>
          </w:rPr>
          <w:t xml:space="preserve">https://CRAN.R-project.org/package=catIrt</w:t>
        </w:r>
      </w:hyperlink>
    </w:p>
    <w:bookmarkEnd w:id="78"/>
    <w:bookmarkStart w:id="80" w:name="ref-R-base"/>
    <w:p>
      <w:pPr>
        <w:pStyle w:val="Literaturverzeichnis"/>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9">
        <w:r>
          <w:rPr>
            <w:rStyle w:val="Hyperlink"/>
          </w:rPr>
          <w:t xml:space="preserve">https://www.R-project.org/</w:t>
        </w:r>
      </w:hyperlink>
    </w:p>
    <w:bookmarkEnd w:id="80"/>
    <w:bookmarkStart w:id="82" w:name="ref-R-psych"/>
    <w:p>
      <w:pPr>
        <w:pStyle w:val="Literaturverzeichnis"/>
      </w:pPr>
      <w:r>
        <w:t xml:space="preserve">Revelle, W. (2022).</w:t>
      </w:r>
      <w:r>
        <w:t xml:space="preserve"> </w:t>
      </w:r>
      <w:r>
        <w:rPr>
          <w:iCs/>
          <w:i/>
        </w:rPr>
        <w:t xml:space="preserve">Psych: Procedures for psychological, psychometric, and personality research</w:t>
      </w:r>
      <w:r>
        <w:t xml:space="preserve">. Northwestern University.</w:t>
      </w:r>
      <w:r>
        <w:t xml:space="preserve"> </w:t>
      </w:r>
      <w:hyperlink r:id="rId81">
        <w:r>
          <w:rPr>
            <w:rStyle w:val="Hyperlink"/>
          </w:rPr>
          <w:t xml:space="preserve">https://CRAN.R-project.org/package=psych</w:t>
        </w:r>
      </w:hyperlink>
    </w:p>
    <w:bookmarkEnd w:id="82"/>
    <w:bookmarkStart w:id="83" w:name="ref-rupp2006understanding"/>
    <w:p>
      <w:pPr>
        <w:pStyle w:val="Literaturverzeichnis"/>
      </w:pPr>
      <w:r>
        <w:t xml:space="preserve">Rupp, A. A., &amp; Zumbo, B. D. (2006). Understanding parameter invariance in unidimensional IRT models.</w:t>
      </w:r>
      <w:r>
        <w:t xml:space="preserve"> </w:t>
      </w:r>
      <w:r>
        <w:rPr>
          <w:iCs/>
          <w:i/>
        </w:rPr>
        <w:t xml:space="preserve">Educational and Psychological Measurement</w:t>
      </w:r>
      <w:r>
        <w:t xml:space="preserve">,</w:t>
      </w:r>
      <w:r>
        <w:t xml:space="preserve"> </w:t>
      </w:r>
      <w:r>
        <w:rPr>
          <w:iCs/>
          <w:i/>
        </w:rPr>
        <w:t xml:space="preserve">66</w:t>
      </w:r>
      <w:r>
        <w:t xml:space="preserve">(1), 63–84.</w:t>
      </w:r>
    </w:p>
    <w:bookmarkEnd w:id="83"/>
    <w:bookmarkStart w:id="85" w:name="ref-R-lattice"/>
    <w:p>
      <w:pPr>
        <w:pStyle w:val="Literaturverzeichnis"/>
      </w:pPr>
      <w:r>
        <w:t xml:space="preserve">Sarkar, D. (2008).</w:t>
      </w:r>
      <w:r>
        <w:t xml:space="preserve"> </w:t>
      </w:r>
      <w:r>
        <w:rPr>
          <w:iCs/>
          <w:i/>
        </w:rPr>
        <w:t xml:space="preserve">Lattice: Multivariate data visualization with r</w:t>
      </w:r>
      <w:r>
        <w:t xml:space="preserve">. Springer.</w:t>
      </w:r>
      <w:r>
        <w:t xml:space="preserve"> </w:t>
      </w:r>
      <w:hyperlink r:id="rId84">
        <w:r>
          <w:rPr>
            <w:rStyle w:val="Hyperlink"/>
          </w:rPr>
          <w:t xml:space="preserve">http://lmdvr.r-forge.r-project.org</w:t>
        </w:r>
      </w:hyperlink>
    </w:p>
    <w:bookmarkEnd w:id="85"/>
    <w:bookmarkStart w:id="87" w:name="ref-R-latticeExtra"/>
    <w:p>
      <w:pPr>
        <w:pStyle w:val="Literaturverzeichnis"/>
      </w:pPr>
      <w:r>
        <w:t xml:space="preserve">Sarkar, D., &amp; Andrews, F. (2019).</w:t>
      </w:r>
      <w:r>
        <w:t xml:space="preserve"> </w:t>
      </w:r>
      <w:r>
        <w:rPr>
          <w:iCs/>
          <w:i/>
        </w:rPr>
        <w:t xml:space="preserve">latticeExtra: Extra graphical utilities based on lattice</w:t>
      </w:r>
      <w:r>
        <w:t xml:space="preserve">.</w:t>
      </w:r>
      <w:r>
        <w:t xml:space="preserve"> </w:t>
      </w:r>
      <w:hyperlink r:id="rId86">
        <w:r>
          <w:rPr>
            <w:rStyle w:val="Hyperlink"/>
          </w:rPr>
          <w:t xml:space="preserve">https://CRAN.R-project.org/package=latticeExtra</w:t>
        </w:r>
      </w:hyperlink>
    </w:p>
    <w:bookmarkEnd w:id="87"/>
    <w:bookmarkStart w:id="89" w:name="ref-R-reticulate"/>
    <w:p>
      <w:pPr>
        <w:pStyle w:val="Literaturverzeichnis"/>
      </w:pPr>
      <w:r>
        <w:t xml:space="preserve">Ushey, K., Allaire, J., &amp; Tang, Y. (2021).</w:t>
      </w:r>
      <w:r>
        <w:t xml:space="preserve"> </w:t>
      </w:r>
      <w:r>
        <w:rPr>
          <w:iCs/>
          <w:i/>
        </w:rPr>
        <w:t xml:space="preserve">Reticulate: Interface to ’python’</w:t>
      </w:r>
      <w:r>
        <w:t xml:space="preserve">.</w:t>
      </w:r>
      <w:r>
        <w:t xml:space="preserve"> </w:t>
      </w:r>
      <w:hyperlink r:id="rId88">
        <w:r>
          <w:rPr>
            <w:rStyle w:val="Hyperlink"/>
          </w:rPr>
          <w:t xml:space="preserve">https://CRAN.R-project.org/package=reticulate</w:t>
        </w:r>
      </w:hyperlink>
    </w:p>
    <w:bookmarkEnd w:id="89"/>
    <w:bookmarkStart w:id="91"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90">
        <w:r>
          <w:rPr>
            <w:rStyle w:val="Hyperlink"/>
          </w:rPr>
          <w:t xml:space="preserve">https://ggplot2.tidyverse.org</w:t>
        </w:r>
      </w:hyperlink>
    </w:p>
    <w:bookmarkEnd w:id="91"/>
    <w:bookmarkStart w:id="93"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92">
        <w:r>
          <w:rPr>
            <w:rStyle w:val="Hyperlink"/>
          </w:rPr>
          <w:t xml:space="preserve">https://CRAN.R-project.org/package=stringr</w:t>
        </w:r>
      </w:hyperlink>
    </w:p>
    <w:bookmarkEnd w:id="93"/>
    <w:bookmarkStart w:id="95" w:name="ref-R-forcats"/>
    <w:p>
      <w:pPr>
        <w:pStyle w:val="Literaturverzeichnis"/>
      </w:pPr>
      <w:r>
        <w:t xml:space="preserve">Wickham, H. (2021).</w:t>
      </w:r>
      <w:r>
        <w:t xml:space="preserve"> </w:t>
      </w:r>
      <w:r>
        <w:rPr>
          <w:iCs/>
          <w:i/>
        </w:rPr>
        <w:t xml:space="preserve">Forcats: Tools for working with categorical variables (factors)</w:t>
      </w:r>
      <w:r>
        <w:t xml:space="preserve">.</w:t>
      </w:r>
      <w:r>
        <w:t xml:space="preserve"> </w:t>
      </w:r>
      <w:hyperlink r:id="rId94">
        <w:r>
          <w:rPr>
            <w:rStyle w:val="Hyperlink"/>
          </w:rPr>
          <w:t xml:space="preserve">https://CRAN.R-project.org/package=forcats</w:t>
        </w:r>
      </w:hyperlink>
    </w:p>
    <w:bookmarkEnd w:id="95"/>
    <w:bookmarkStart w:id="9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96">
        <w:r>
          <w:rPr>
            <w:rStyle w:val="Hyperlink"/>
          </w:rPr>
          <w:t xml:space="preserve">https://doi.org/10.21105/joss.01686</w:t>
        </w:r>
      </w:hyperlink>
    </w:p>
    <w:bookmarkEnd w:id="97"/>
    <w:bookmarkStart w:id="99" w:name="ref-R-dplyr"/>
    <w:p>
      <w:pPr>
        <w:pStyle w:val="Literaturverzeichnis"/>
      </w:pPr>
      <w:r>
        <w:t xml:space="preserve">Wickham, H., François, R., Henry, L., &amp; Müller, K. (2022).</w:t>
      </w:r>
      <w:r>
        <w:t xml:space="preserve"> </w:t>
      </w:r>
      <w:r>
        <w:rPr>
          <w:iCs/>
          <w:i/>
        </w:rPr>
        <w:t xml:space="preserve">Dplyr: A grammar of data manipulation</w:t>
      </w:r>
      <w:r>
        <w:t xml:space="preserve">.</w:t>
      </w:r>
      <w:r>
        <w:t xml:space="preserve"> </w:t>
      </w:r>
      <w:hyperlink r:id="rId98">
        <w:r>
          <w:rPr>
            <w:rStyle w:val="Hyperlink"/>
          </w:rPr>
          <w:t xml:space="preserve">https://CRAN.R-project.org/package=dplyr</w:t>
        </w:r>
      </w:hyperlink>
    </w:p>
    <w:bookmarkEnd w:id="99"/>
    <w:bookmarkStart w:id="101" w:name="ref-R-tidyr"/>
    <w:p>
      <w:pPr>
        <w:pStyle w:val="Literaturverzeichnis"/>
      </w:pPr>
      <w:r>
        <w:t xml:space="preserve">Wickham, H., &amp; Girlich, M. (2022).</w:t>
      </w:r>
      <w:r>
        <w:t xml:space="preserve"> </w:t>
      </w:r>
      <w:r>
        <w:rPr>
          <w:iCs/>
          <w:i/>
        </w:rPr>
        <w:t xml:space="preserve">Tidyr: Tidy messy data</w:t>
      </w:r>
      <w:r>
        <w:t xml:space="preserve">.</w:t>
      </w:r>
      <w:r>
        <w:t xml:space="preserve"> </w:t>
      </w:r>
      <w:hyperlink r:id="rId100">
        <w:r>
          <w:rPr>
            <w:rStyle w:val="Hyperlink"/>
          </w:rPr>
          <w:t xml:space="preserve">https://CRAN.R-project.org/package=tidyr</w:t>
        </w:r>
      </w:hyperlink>
    </w:p>
    <w:bookmarkEnd w:id="101"/>
    <w:bookmarkStart w:id="103" w:name="ref-R-readr"/>
    <w:p>
      <w:pPr>
        <w:pStyle w:val="Literaturverzeichnis"/>
      </w:pPr>
      <w:r>
        <w:t xml:space="preserve">Wickham, H., Hester, J., &amp; Bryan, J. (2022).</w:t>
      </w:r>
      <w:r>
        <w:t xml:space="preserve"> </w:t>
      </w:r>
      <w:r>
        <w:rPr>
          <w:iCs/>
          <w:i/>
        </w:rPr>
        <w:t xml:space="preserve">Readr: Read rectangular text data</w:t>
      </w:r>
      <w:r>
        <w:t xml:space="preserve">.</w:t>
      </w:r>
      <w:r>
        <w:t xml:space="preserve"> </w:t>
      </w:r>
      <w:hyperlink r:id="rId102">
        <w:r>
          <w:rPr>
            <w:rStyle w:val="Hyperlink"/>
          </w:rPr>
          <w:t xml:space="preserve">https://CRAN.R-project.org/package=readr</w:t>
        </w:r>
      </w:hyperlink>
    </w:p>
    <w:bookmarkEnd w:id="103"/>
    <w:bookmarkStart w:id="105" w:name="ref-R-scales"/>
    <w:p>
      <w:pPr>
        <w:pStyle w:val="Literaturverzeichnis"/>
      </w:pPr>
      <w:r>
        <w:t xml:space="preserve">Wickham, H., &amp; Seidel, D. (2022).</w:t>
      </w:r>
      <w:r>
        <w:t xml:space="preserve"> </w:t>
      </w:r>
      <w:r>
        <w:rPr>
          <w:iCs/>
          <w:i/>
        </w:rPr>
        <w:t xml:space="preserve">Scales: Scale functions for visualization</w:t>
      </w:r>
      <w:r>
        <w:t xml:space="preserve">.</w:t>
      </w:r>
      <w:r>
        <w:t xml:space="preserve"> </w:t>
      </w:r>
      <w:hyperlink r:id="rId104">
        <w:r>
          <w:rPr>
            <w:rStyle w:val="Hyperlink"/>
          </w:rPr>
          <w:t xml:space="preserve">https://CRAN.R-project.org/package=scales</w:t>
        </w:r>
      </w:hyperlink>
    </w:p>
    <w:bookmarkEnd w:id="105"/>
    <w:bookmarkStart w:id="107" w:name="ref-R-fGarch"/>
    <w:p>
      <w:pPr>
        <w:pStyle w:val="Literaturverzeichnis"/>
      </w:pPr>
      <w:r>
        <w:t xml:space="preserve">Wuertz, D., Chalabi, Y., Setz, T., &amp; Maechler, M. (2022).</w:t>
      </w:r>
      <w:r>
        <w:t xml:space="preserve"> </w:t>
      </w:r>
      <w:r>
        <w:rPr>
          <w:iCs/>
          <w:i/>
        </w:rPr>
        <w:t xml:space="preserve">fGarch: Rmetrics - autoregressive conditional heteroskedastic modelling</w:t>
      </w:r>
      <w:r>
        <w:t xml:space="preserve">.</w:t>
      </w:r>
      <w:r>
        <w:t xml:space="preserve"> </w:t>
      </w:r>
      <w:hyperlink r:id="rId106">
        <w:r>
          <w:rPr>
            <w:rStyle w:val="Hyperlink"/>
          </w:rPr>
          <w:t xml:space="preserve">https://CRAN.R-project.org/package=fGarch</w:t>
        </w:r>
      </w:hyperlink>
    </w:p>
    <w:bookmarkEnd w:id="107"/>
    <w:bookmarkEnd w:id="108"/>
    <w:bookmarkEnd w:id="10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unotentext"/>
      </w:pPr>
      <w:r>
        <w:rPr>
          <w:rStyle w:val="Funotenzeichen"/>
        </w:rPr>
        <w:footnoteRef/>
      </w:r>
      <w:r>
        <w:t xml:space="preserve"> </w:t>
      </w:r>
      <w:r>
        <w:t xml:space="preserve">With exception</w:t>
      </w:r>
      <w:r>
        <w:t xml:space="preserve"> </w:t>
      </w:r>
      <w:r>
        <w:t xml:space="preserve">(see, for example, Masters, 1982; Muraki, 1997)</w:t>
      </w:r>
    </w:p>
  </w:footnote>
  <w:footnote w:id="25">
    <w:p>
      <w:pPr>
        <w:pStyle w:val="Funotentext"/>
      </w:pPr>
      <w:r>
        <w:rPr>
          <w:rStyle w:val="Funotenzeichen"/>
        </w:rPr>
        <w:footnoteRef/>
      </w:r>
      <w:r>
        <w:t xml:space="preserve"> </w:t>
      </w:r>
      <w:r>
        <w:t xml:space="preserve">Because the historical convention in test response is to code a correct response as</w:t>
      </w:r>
      <w:r>
        <w:t xml:space="preserve"> </w:t>
      </w:r>
      <w:r>
        <w:t xml:space="preserve">“</w:t>
      </w:r>
      <w:r>
        <w:t xml:space="preserve">1</w:t>
      </w:r>
      <w:r>
        <w:t xml:space="preserve">”</w:t>
      </w:r>
      <w:r>
        <w:t xml:space="preserve"> </w:t>
      </w:r>
      <w:r>
        <w:t xml:space="preserve">and an incorrect response as</w:t>
      </w:r>
      <w:r>
        <w:t xml:space="preserve"> </w:t>
      </w:r>
      <w:r>
        <w:t xml:space="preserve">“</w:t>
      </w:r>
      <w:r>
        <w:t xml:space="preserve">0</w:t>
      </w:r>
      <w:r>
        <w:t xml:space="preserve">”</w:t>
      </w:r>
      <w:r>
        <w:t xml:space="preserve">, the y-axis is commonly denoted as</w:t>
      </w:r>
      <w:r>
        <w:t xml:space="preserve"> </w:t>
      </w:r>
      <w:r>
        <w:t xml:space="preserve">“</w:t>
      </w:r>
      <w:r>
        <w:rPr>
          <w:iCs/>
          <w:i/>
        </w:rPr>
        <w:t xml:space="preserve">p(1)</w:t>
      </w:r>
      <w:r>
        <w:t xml:space="preserve">”</w:t>
      </w:r>
      <w:r>
        <w:t xml:space="preserve"> </w:t>
      </w:r>
      <w:r>
        <w:t xml:space="preserve">or</w:t>
      </w:r>
      <w:r>
        <w:t xml:space="preserve"> </w:t>
      </w:r>
      <w:r>
        <w:t xml:space="preserve">“</w:t>
      </w:r>
      <w:r>
        <w:rPr>
          <w:iCs/>
          <w:i/>
        </w:rPr>
        <w:t xml:space="preserve">p(1.0)</w:t>
      </w:r>
      <w:r>
        <w:t xml:space="preserve">”</w:t>
      </w:r>
      <w:r>
        <w:t xml:space="preserve">.</w:t>
      </w:r>
    </w:p>
  </w:footnote>
  <w:footnote w:id="26">
    <w:p>
      <w:pPr>
        <w:pStyle w:val="Funotentext"/>
      </w:pPr>
      <w:r>
        <w:rPr>
          <w:rStyle w:val="Funotenzeichen"/>
        </w:rPr>
        <w:footnoteRef/>
      </w:r>
      <w:r>
        <w:t xml:space="preserve"> </w:t>
      </w:r>
      <w:r>
        <w:t xml:space="preserve">F. Lord (1980)</w:t>
      </w:r>
      <w:r>
        <w:t xml:space="preserve">’s CTT discrimination index is actually the item-test biserial correlation as opposed to the contemporarily more popular</w:t>
      </w:r>
      <w:r>
        <w:t xml:space="preserve"> </w:t>
      </w:r>
      <w:r>
        <w:rPr>
          <w:iCs/>
          <w:i/>
        </w:rPr>
        <w:t xml:space="preserve">corrected</w:t>
      </w:r>
      <w:r>
        <w:t xml:space="preserve"> </w:t>
      </w:r>
      <w:r>
        <w:t xml:space="preserve">item-total</w:t>
      </w:r>
      <w:r>
        <w:t xml:space="preserve"> </w:t>
      </w:r>
      <w:r>
        <w:rPr>
          <w:iCs/>
          <w:i/>
        </w:rPr>
        <w:t xml:space="preserve">point-biserial</w:t>
      </w:r>
      <w:r>
        <w:t xml:space="preserve"> </w:t>
      </w:r>
      <w:r>
        <w:t xml:space="preserve">correlation.</w:t>
      </w:r>
    </w:p>
  </w:footnote>
  <w:footnote w:id="48">
    <w:p>
      <w:pPr>
        <w:pStyle w:val="Funotentext"/>
      </w:pPr>
      <w:r>
        <w:rPr>
          <w:rStyle w:val="Funotenzeichen"/>
        </w:rPr>
        <w:footnoteRef/>
      </w:r>
      <w:r>
        <w:t xml:space="preserve"> </w:t>
      </w:r>
      <w:r>
        <w:rPr>
          <w:iCs/>
          <w:i/>
        </w:rPr>
        <w:t xml:space="preserve">Note</w:t>
      </w:r>
      <w:r>
        <w:t xml:space="preserve">. Did the integral of the difference between the CTT and IRT functions using the</w:t>
      </w:r>
      <w:r>
        <w:t xml:space="preserve"> </w:t>
      </w:r>
      <w:r>
        <w:t xml:space="preserve">“</w:t>
      </w:r>
      <w:r>
        <w:t xml:space="preserve">integrate</w:t>
      </w:r>
      <w:r>
        <w:t xml:space="preserve">”</w:t>
      </w:r>
      <w:r>
        <w:t xml:space="preserve"> </w:t>
      </w:r>
      <w:r>
        <w:t xml:space="preserve">function in the</w:t>
      </w:r>
      <w:r>
        <w:t xml:space="preserve"> </w:t>
      </w:r>
      <w:r>
        <w:t xml:space="preserve">“</w:t>
      </w:r>
      <w:r>
        <w:t xml:space="preserve">stats</w:t>
      </w:r>
      <w:r>
        <w:t xml:space="preserve">”</w:t>
      </w:r>
      <w:r>
        <w:t xml:space="preserve"> </w:t>
      </w:r>
      <w:r>
        <w:t xml:space="preserve">package (base R). Did a test to confirm this accurately reflects the area between curves by creating two curves, one with high discrimination and another with low discrimination, and seeing what the area between curves was using first the geiger package and then base R. Also roughly estimated by hand this diff. Base R seems to be the more accurate method.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84" Target="http://lmdvr.r-forge.r-project.org" TargetMode="External" /><Relationship Type="http://schemas.openxmlformats.org/officeDocument/2006/relationships/hyperlink" Id="rId77" Target="https://CRAN.R-project.org/package=catIrt" TargetMode="External" /><Relationship Type="http://schemas.openxmlformats.org/officeDocument/2006/relationships/hyperlink" Id="rId60" Target="https://CRAN.R-project.org/package=descr" TargetMode="External" /><Relationship Type="http://schemas.openxmlformats.org/officeDocument/2006/relationships/hyperlink" Id="rId98" Target="https://CRAN.R-project.org/package=dplyr" TargetMode="External" /><Relationship Type="http://schemas.openxmlformats.org/officeDocument/2006/relationships/hyperlink" Id="rId106" Target="https://CRAN.R-project.org/package=fGarch" TargetMode="External" /><Relationship Type="http://schemas.openxmlformats.org/officeDocument/2006/relationships/hyperlink" Id="rId94" Target="https://CRAN.R-project.org/package=forcats" TargetMode="External" /><Relationship Type="http://schemas.openxmlformats.org/officeDocument/2006/relationships/hyperlink" Id="rId86" Target="https://CRAN.R-project.org/package=latticeExtra" TargetMode="External" /><Relationship Type="http://schemas.openxmlformats.org/officeDocument/2006/relationships/hyperlink" Id="rId64" Target="https://CRAN.R-project.org/package=numDeriv" TargetMode="External" /><Relationship Type="http://schemas.openxmlformats.org/officeDocument/2006/relationships/hyperlink" Id="rId81" Target="https://CRAN.R-project.org/package=psych" TargetMode="External" /><Relationship Type="http://schemas.openxmlformats.org/officeDocument/2006/relationships/hyperlink" Id="rId68" Target="https://CRAN.R-project.org/package=purrr" TargetMode="External" /><Relationship Type="http://schemas.openxmlformats.org/officeDocument/2006/relationships/hyperlink" Id="rId102" Target="https://CRAN.R-project.org/package=readr" TargetMode="External" /><Relationship Type="http://schemas.openxmlformats.org/officeDocument/2006/relationships/hyperlink" Id="rId88" Target="https://CRAN.R-project.org/package=reticulate" TargetMode="External" /><Relationship Type="http://schemas.openxmlformats.org/officeDocument/2006/relationships/hyperlink" Id="rId104" Target="https://CRAN.R-project.org/package=scales" TargetMode="External" /><Relationship Type="http://schemas.openxmlformats.org/officeDocument/2006/relationships/hyperlink" Id="rId92" Target="https://CRAN.R-project.org/package=stringr" TargetMode="External" /><Relationship Type="http://schemas.openxmlformats.org/officeDocument/2006/relationships/hyperlink" Id="rId74" Target="https://CRAN.R-project.org/package=tibble" TargetMode="External" /><Relationship Type="http://schemas.openxmlformats.org/officeDocument/2006/relationships/hyperlink" Id="rId100"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56" Target="https://doi.org/10.18637/jss.v048.i06" TargetMode="External" /><Relationship Type="http://schemas.openxmlformats.org/officeDocument/2006/relationships/hyperlink" Id="rId96" Target="https://doi.org/10.21105/joss.01686" TargetMode="External" /><Relationship Type="http://schemas.openxmlformats.org/officeDocument/2006/relationships/hyperlink" Id="rId58" Target="https://doi.org/10.5281/zenodo.2669586" TargetMode="External" /><Relationship Type="http://schemas.openxmlformats.org/officeDocument/2006/relationships/hyperlink" Id="rId90"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9" Target="https://www.R-project.org/" TargetMode="External" /><Relationship Type="http://schemas.openxmlformats.org/officeDocument/2006/relationships/hyperlink" Id="rId20" Target="mailto:figueirasd1@montclair.edu" TargetMode="External" /></Relationships>
</file>

<file path=word/_rels/footnotes.xml.rels><?xml version="1.0" encoding="UTF-8"?><Relationships xmlns="http://schemas.openxmlformats.org/package/2006/relationships"><Relationship Type="http://schemas.openxmlformats.org/officeDocument/2006/relationships/hyperlink" Id="rId84" Target="http://lmdvr.r-forge.r-project.org" TargetMode="External" /><Relationship Type="http://schemas.openxmlformats.org/officeDocument/2006/relationships/hyperlink" Id="rId77" Target="https://CRAN.R-project.org/package=catIrt" TargetMode="External" /><Relationship Type="http://schemas.openxmlformats.org/officeDocument/2006/relationships/hyperlink" Id="rId60" Target="https://CRAN.R-project.org/package=descr" TargetMode="External" /><Relationship Type="http://schemas.openxmlformats.org/officeDocument/2006/relationships/hyperlink" Id="rId98" Target="https://CRAN.R-project.org/package=dplyr" TargetMode="External" /><Relationship Type="http://schemas.openxmlformats.org/officeDocument/2006/relationships/hyperlink" Id="rId106" Target="https://CRAN.R-project.org/package=fGarch" TargetMode="External" /><Relationship Type="http://schemas.openxmlformats.org/officeDocument/2006/relationships/hyperlink" Id="rId94" Target="https://CRAN.R-project.org/package=forcats" TargetMode="External" /><Relationship Type="http://schemas.openxmlformats.org/officeDocument/2006/relationships/hyperlink" Id="rId86" Target="https://CRAN.R-project.org/package=latticeExtra" TargetMode="External" /><Relationship Type="http://schemas.openxmlformats.org/officeDocument/2006/relationships/hyperlink" Id="rId64" Target="https://CRAN.R-project.org/package=numDeriv" TargetMode="External" /><Relationship Type="http://schemas.openxmlformats.org/officeDocument/2006/relationships/hyperlink" Id="rId81" Target="https://CRAN.R-project.org/package=psych" TargetMode="External" /><Relationship Type="http://schemas.openxmlformats.org/officeDocument/2006/relationships/hyperlink" Id="rId68" Target="https://CRAN.R-project.org/package=purrr" TargetMode="External" /><Relationship Type="http://schemas.openxmlformats.org/officeDocument/2006/relationships/hyperlink" Id="rId102" Target="https://CRAN.R-project.org/package=readr" TargetMode="External" /><Relationship Type="http://schemas.openxmlformats.org/officeDocument/2006/relationships/hyperlink" Id="rId88" Target="https://CRAN.R-project.org/package=reticulate" TargetMode="External" /><Relationship Type="http://schemas.openxmlformats.org/officeDocument/2006/relationships/hyperlink" Id="rId104" Target="https://CRAN.R-project.org/package=scales" TargetMode="External" /><Relationship Type="http://schemas.openxmlformats.org/officeDocument/2006/relationships/hyperlink" Id="rId92" Target="https://CRAN.R-project.org/package=stringr" TargetMode="External" /><Relationship Type="http://schemas.openxmlformats.org/officeDocument/2006/relationships/hyperlink" Id="rId74" Target="https://CRAN.R-project.org/package=tibble" TargetMode="External" /><Relationship Type="http://schemas.openxmlformats.org/officeDocument/2006/relationships/hyperlink" Id="rId100" Target="https://CRAN.R-project.org/package=tidyr" TargetMode="External" /><Relationship Type="http://schemas.openxmlformats.org/officeDocument/2006/relationships/hyperlink" Id="rId54" Target="https://cran.r-project.org/package=tinylabels" TargetMode="External" /><Relationship Type="http://schemas.openxmlformats.org/officeDocument/2006/relationships/hyperlink" Id="rId56" Target="https://doi.org/10.18637/jss.v048.i06" TargetMode="External" /><Relationship Type="http://schemas.openxmlformats.org/officeDocument/2006/relationships/hyperlink" Id="rId96" Target="https://doi.org/10.21105/joss.01686" TargetMode="External" /><Relationship Type="http://schemas.openxmlformats.org/officeDocument/2006/relationships/hyperlink" Id="rId58" Target="https://doi.org/10.5281/zenodo.2669586" TargetMode="External" /><Relationship Type="http://schemas.openxmlformats.org/officeDocument/2006/relationships/hyperlink" Id="rId90" Target="https://ggplot2.tidyverse.org" TargetMode="External" /><Relationship Type="http://schemas.openxmlformats.org/officeDocument/2006/relationships/hyperlink" Id="rId52" Target="https://github.com/crsh/papaja" TargetMode="External" /><Relationship Type="http://schemas.openxmlformats.org/officeDocument/2006/relationships/hyperlink" Id="rId79" Target="https://www.R-project.org/"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Classical Test Theory Item Characteristic Curve Estimation: p-value to b-parameter Scaling</dc:title>
  <dc:creator/>
  <cp:keywords/>
  <dcterms:created xsi:type="dcterms:W3CDTF">2022-10-12T20:09:17Z</dcterms:created>
  <dcterms:modified xsi:type="dcterms:W3CDTF">2022-10-12T20:09:17Z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
  </property>
  <property fmtid="{D5CDD505-2E9C-101B-9397-08002B2CF9AE}" pid="4" name="bibliography">
    <vt:lpwstr/>
  </property>
  <property fmtid="{D5CDD505-2E9C-101B-9397-08002B2CF9AE}" pid="5" name="classoption">
    <vt:lpwstr>man</vt:lpwstr>
  </property>
  <property fmtid="{D5CDD505-2E9C-101B-9397-08002B2CF9AE}" pid="6" name="csl">
    <vt:lpwstr>C:\Users\diego\Documents\R\git\CTTvisual\SIOP\apa7.csl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False</vt:lpwstr>
  </property>
  <property fmtid="{D5CDD505-2E9C-101B-9397-08002B2CF9AE}" pid="17" name="wordcount">
    <vt:lpwstr>X</vt:lpwstr>
  </property>
</Properties>
</file>