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84FC" w14:textId="74E2843A" w:rsidR="00EE4ECE" w:rsidRPr="009B5CC7" w:rsidRDefault="00EE4ECE" w:rsidP="00EE4ECE">
      <w:pPr>
        <w:pBdr>
          <w:top w:val="nil"/>
          <w:left w:val="nil"/>
          <w:bottom w:val="nil"/>
          <w:right w:val="nil"/>
          <w:between w:val="nil"/>
        </w:pBdr>
        <w:spacing w:before="240" w:after="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lk205854770"/>
      <w:bookmarkStart w:id="1" w:name="_Hlk208354134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COGERAÇÃO DE ENERGIA ELÉTRICA A PARTIR DO BAGAÇO DE CANA</w:t>
      </w:r>
      <w:r w:rsidR="000273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</w:t>
      </w:r>
      <w:r w:rsidR="000273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AÇÚCAR NA </w:t>
      </w:r>
      <w:r w:rsidRPr="009B5CC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USJ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–</w:t>
      </w:r>
      <w:r w:rsidRPr="009B5CC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ÇÚCAR E </w:t>
      </w:r>
      <w:r w:rsidRPr="009B5CC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LCOOL</w:t>
      </w:r>
      <w:r w:rsidRPr="009B5CC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 ARARAS – SP </w:t>
      </w:r>
    </w:p>
    <w:p w14:paraId="35F771B1" w14:textId="77777777" w:rsidR="00EE4ECE" w:rsidRDefault="00EE4ECE" w:rsidP="00EE4EC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D16B57" w14:textId="77777777" w:rsidR="00EE4ECE" w:rsidRDefault="00EE4ECE" w:rsidP="002536A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Diego Henrique Viega Fogari (CENTRO UNIVERSITÁRIO DA FUNDAÇÃO HERMÍNIO OMETTO) </w:t>
      </w:r>
      <w:r w:rsidRPr="00C069E2">
        <w:rPr>
          <w:rFonts w:ascii="Times New Roman" w:eastAsia="Times New Roman" w:hAnsi="Times New Roman" w:cs="Times New Roman"/>
          <w:color w:val="000000"/>
          <w:sz w:val="24"/>
          <w:szCs w:val="24"/>
        </w:rPr>
        <w:t>diihfogari@alunos.fho.edu.br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diihfogari@gmail.com</w:t>
      </w:r>
    </w:p>
    <w:p w14:paraId="2D0FD2DB" w14:textId="5138661B" w:rsidR="00EE4ECE" w:rsidRDefault="00EE4ECE" w:rsidP="002536A5">
      <w:pPr>
        <w:spacing w:after="0" w:line="360" w:lineRule="auto"/>
        <w:ind w:firstLine="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Prof.</w:t>
      </w:r>
      <w:r w:rsidR="008319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Dr. Daniel Augusto Pagi Ferreira (CENTRO UNIVERSITÁRIO DA FUNDAÇÃO HERMÍNIO OMETTO) danielferreira@fho.edu.br</w:t>
      </w:r>
    </w:p>
    <w:bookmarkEnd w:id="1"/>
    <w:p w14:paraId="5318E4EA" w14:textId="77777777" w:rsidR="00EE4ECE" w:rsidRDefault="00EE4ECE" w:rsidP="002536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2B82D" w14:textId="77777777" w:rsidR="00EE4ECE" w:rsidRDefault="00EE4ECE" w:rsidP="00F56D6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t>Resumo</w:t>
      </w:r>
    </w:p>
    <w:p w14:paraId="52308803" w14:textId="4DFA78CB" w:rsidR="00EE4ECE" w:rsidRPr="00934550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 cogeração de energia a partir do bagaço de cana-de-açúcar consolida-se como alternativa vital para a matriz energética brasileira. Este estudo, de natureza qualitativa e descritiva, investiga o processo de cogeração no setor sucroalcooleiro, tomando como estudo de caso a </w:t>
      </w:r>
      <w:r w:rsidR="002570CB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João, em Araras/SP. Por meio de revisão bibliográfica e análise técnica, o trabalho percorre a evolução histórica do setor e os avanços da Indústria 4.0, que modernizaram a usina com novos equipamentos e sistemas de controle sincronizados com a rede da concessionária. Os resultados mostram que a modernização permitiu a transição de operação em ilha para paralelismo com a rede, gerando autossuficiência e a comercialização de excedentes. Contudo, essa evolução trouxe desafios regulatórios complexos no </w:t>
      </w:r>
      <w:r w:rsidR="002570CB">
        <w:rPr>
          <w:rFonts w:ascii="Times New Roman" w:hAnsi="Times New Roman" w:cs="Times New Roman"/>
          <w:sz w:val="24"/>
          <w:szCs w:val="24"/>
        </w:rPr>
        <w:t>a</w:t>
      </w:r>
      <w:r w:rsidRPr="00934550">
        <w:rPr>
          <w:rFonts w:ascii="Times New Roman" w:hAnsi="Times New Roman" w:cs="Times New Roman"/>
          <w:sz w:val="24"/>
          <w:szCs w:val="24"/>
        </w:rPr>
        <w:t xml:space="preserve">mbiente de </w:t>
      </w:r>
      <w:r w:rsidR="002570CB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ontratação </w:t>
      </w:r>
      <w:r w:rsidR="002570CB">
        <w:rPr>
          <w:rFonts w:ascii="Times New Roman" w:hAnsi="Times New Roman" w:cs="Times New Roman"/>
          <w:sz w:val="24"/>
          <w:szCs w:val="24"/>
        </w:rPr>
        <w:t>r</w:t>
      </w:r>
      <w:r w:rsidRPr="00934550">
        <w:rPr>
          <w:rFonts w:ascii="Times New Roman" w:hAnsi="Times New Roman" w:cs="Times New Roman"/>
          <w:sz w:val="24"/>
          <w:szCs w:val="24"/>
        </w:rPr>
        <w:t>egulada (ACR), com exposição a penalidades por ultrapassagem dos limites contratuais de importação e exportação de energia. Conclui-se que, além dos ganhos de eficiência e benefícios ambientais, a rentabilidade e a operação segura dependem de controle operacional rigoroso e domínio das regras do setor elétrico.</w:t>
      </w:r>
    </w:p>
    <w:p w14:paraId="32F983A7" w14:textId="77777777" w:rsidR="00694313" w:rsidRDefault="00694313" w:rsidP="00AF69A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ECA0F" w14:textId="0B2203D4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t>Palavras-chave:</w:t>
      </w:r>
      <w:r w:rsidRPr="00934550">
        <w:rPr>
          <w:rFonts w:ascii="Times New Roman" w:hAnsi="Times New Roman" w:cs="Times New Roman"/>
          <w:sz w:val="24"/>
          <w:szCs w:val="24"/>
        </w:rPr>
        <w:t xml:space="preserve"> Cogeração de Energia, </w:t>
      </w:r>
      <w:r w:rsidR="002536A5">
        <w:rPr>
          <w:rFonts w:ascii="Times New Roman" w:hAnsi="Times New Roman" w:cs="Times New Roman"/>
          <w:sz w:val="24"/>
          <w:szCs w:val="24"/>
        </w:rPr>
        <w:t>b</w:t>
      </w:r>
      <w:r w:rsidRPr="00934550">
        <w:rPr>
          <w:rFonts w:ascii="Times New Roman" w:hAnsi="Times New Roman" w:cs="Times New Roman"/>
          <w:sz w:val="24"/>
          <w:szCs w:val="24"/>
        </w:rPr>
        <w:t xml:space="preserve">agaço de </w:t>
      </w:r>
      <w:r w:rsidR="002536A5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>ana-de-</w:t>
      </w:r>
      <w:r w:rsidR="002536A5">
        <w:rPr>
          <w:rFonts w:ascii="Times New Roman" w:hAnsi="Times New Roman" w:cs="Times New Roman"/>
          <w:sz w:val="24"/>
          <w:szCs w:val="24"/>
        </w:rPr>
        <w:t>a</w:t>
      </w:r>
      <w:r w:rsidRPr="00934550">
        <w:rPr>
          <w:rFonts w:ascii="Times New Roman" w:hAnsi="Times New Roman" w:cs="Times New Roman"/>
          <w:sz w:val="24"/>
          <w:szCs w:val="24"/>
        </w:rPr>
        <w:t xml:space="preserve">çúcar, </w:t>
      </w:r>
      <w:r w:rsidR="002536A5">
        <w:rPr>
          <w:rFonts w:ascii="Times New Roman" w:hAnsi="Times New Roman" w:cs="Times New Roman"/>
          <w:sz w:val="24"/>
          <w:szCs w:val="24"/>
        </w:rPr>
        <w:t>m</w:t>
      </w:r>
      <w:r w:rsidRPr="00934550">
        <w:rPr>
          <w:rFonts w:ascii="Times New Roman" w:hAnsi="Times New Roman" w:cs="Times New Roman"/>
          <w:sz w:val="24"/>
          <w:szCs w:val="24"/>
        </w:rPr>
        <w:t>odernização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6F34C2" w14:textId="77777777" w:rsidR="00ED183E" w:rsidRPr="00934550" w:rsidRDefault="00ED183E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A7BAA" w14:textId="77777777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t>1. Introdução</w:t>
      </w:r>
    </w:p>
    <w:p w14:paraId="0766F6E9" w14:textId="4C09A4C8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busca por soluções energéticas sustentáveis e energia limpa não é apenas uma tendência, mas uma necessidade global urgente. Diante dos desafios impostos pelas mudanças climáticas, pelo esgotamento iminente dos combustíveis fósseis e pela essencial segurança energética, o mundo se volta para alternativas mais limpas e eficientes. Nesse cenário, o Brasil se destaca. Com sua vasta riqueza natural e uma forte vocação agroindustrial, nosso país tem sido pioneiro na utilização da biomassa do bagaço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da cana-de-açúcar como uma fonte renovável de energia. A cogeração de energia a partir do bagaço da cana-de-açúcar tem se consolidado como uma das principais alternativas renováveis para a matriz energética brasileira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</w:t>
      </w:r>
      <w:r w:rsidR="00812175">
        <w:rPr>
          <w:rFonts w:ascii="Times New Roman" w:hAnsi="Times New Roman" w:cs="Times New Roman"/>
          <w:sz w:val="24"/>
          <w:szCs w:val="24"/>
        </w:rPr>
        <w:t xml:space="preserve"> conforme a comparação entre 2018 e 2025 mostrada </w:t>
      </w:r>
      <w:r w:rsidR="00DF11CF">
        <w:rPr>
          <w:rFonts w:ascii="Times New Roman" w:hAnsi="Times New Roman" w:cs="Times New Roman"/>
          <w:sz w:val="24"/>
          <w:szCs w:val="24"/>
        </w:rPr>
        <w:t>F</w:t>
      </w:r>
      <w:r w:rsidR="00812175">
        <w:rPr>
          <w:rFonts w:ascii="Times New Roman" w:hAnsi="Times New Roman" w:cs="Times New Roman"/>
          <w:sz w:val="24"/>
          <w:szCs w:val="24"/>
        </w:rPr>
        <w:t>igura 1</w:t>
      </w:r>
      <w:r w:rsidRPr="00EE4ECE">
        <w:rPr>
          <w:rFonts w:ascii="Times New Roman" w:hAnsi="Times New Roman" w:cs="Times New Roman"/>
          <w:sz w:val="24"/>
          <w:szCs w:val="24"/>
        </w:rPr>
        <w:t>. Essa prática não só otimiza o uso da biomassa, mas também contribui significativamente para a redução das emissões de gases de efeito estufa, fortalecendo a sustentabilidade ambiental do Brasil (</w:t>
      </w:r>
      <w:r w:rsidR="00FB18BB">
        <w:rPr>
          <w:rFonts w:ascii="Times New Roman" w:hAnsi="Times New Roman" w:cs="Times New Roman"/>
          <w:sz w:val="24"/>
          <w:szCs w:val="24"/>
        </w:rPr>
        <w:t>MAIA</w:t>
      </w:r>
      <w:r w:rsidRPr="00EE4ECE">
        <w:rPr>
          <w:rFonts w:ascii="Times New Roman" w:hAnsi="Times New Roman" w:cs="Times New Roman"/>
          <w:sz w:val="24"/>
          <w:szCs w:val="24"/>
        </w:rPr>
        <w:t>, 2022).</w:t>
      </w:r>
    </w:p>
    <w:p w14:paraId="4AC83321" w14:textId="77777777" w:rsidR="00816A94" w:rsidRDefault="00816A9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971E1" w14:textId="0E1BD689" w:rsidR="00E60A7C" w:rsidRPr="002536A5" w:rsidRDefault="006E7DDA" w:rsidP="00510024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>Figura</w:t>
      </w:r>
      <w:r w:rsidR="00E60A7C" w:rsidRPr="002536A5">
        <w:rPr>
          <w:rFonts w:ascii="Times New Roman" w:hAnsi="Times New Roman" w:cs="Times New Roman"/>
          <w:sz w:val="20"/>
          <w:szCs w:val="20"/>
        </w:rPr>
        <w:t xml:space="preserve"> 1</w:t>
      </w:r>
      <w:r w:rsidRPr="002536A5">
        <w:rPr>
          <w:rFonts w:ascii="Times New Roman" w:hAnsi="Times New Roman" w:cs="Times New Roman"/>
          <w:sz w:val="20"/>
          <w:szCs w:val="20"/>
        </w:rPr>
        <w:t xml:space="preserve"> -</w:t>
      </w:r>
      <w:r w:rsidR="00E60A7C" w:rsidRPr="002536A5">
        <w:rPr>
          <w:rFonts w:ascii="Times New Roman" w:hAnsi="Times New Roman" w:cs="Times New Roman"/>
          <w:sz w:val="20"/>
          <w:szCs w:val="20"/>
        </w:rPr>
        <w:t xml:space="preserve"> Matriz </w:t>
      </w:r>
      <w:r w:rsidR="002536A5" w:rsidRPr="002536A5">
        <w:rPr>
          <w:rFonts w:ascii="Times New Roman" w:hAnsi="Times New Roman" w:cs="Times New Roman"/>
          <w:sz w:val="20"/>
          <w:szCs w:val="20"/>
        </w:rPr>
        <w:t>e</w:t>
      </w:r>
      <w:r w:rsidR="00E60A7C" w:rsidRPr="002536A5">
        <w:rPr>
          <w:rFonts w:ascii="Times New Roman" w:hAnsi="Times New Roman" w:cs="Times New Roman"/>
          <w:sz w:val="20"/>
          <w:szCs w:val="20"/>
        </w:rPr>
        <w:t xml:space="preserve">nergética </w:t>
      </w:r>
      <w:r w:rsidR="002536A5" w:rsidRPr="002536A5">
        <w:rPr>
          <w:rFonts w:ascii="Times New Roman" w:hAnsi="Times New Roman" w:cs="Times New Roman"/>
          <w:sz w:val="20"/>
          <w:szCs w:val="20"/>
        </w:rPr>
        <w:t>b</w:t>
      </w:r>
      <w:r w:rsidR="00E60A7C" w:rsidRPr="002536A5">
        <w:rPr>
          <w:rFonts w:ascii="Times New Roman" w:hAnsi="Times New Roman" w:cs="Times New Roman"/>
          <w:sz w:val="20"/>
          <w:szCs w:val="20"/>
        </w:rPr>
        <w:t>rasileira (</w:t>
      </w:r>
      <w:r w:rsidR="002536A5" w:rsidRPr="002536A5">
        <w:rPr>
          <w:rFonts w:ascii="Times New Roman" w:hAnsi="Times New Roman" w:cs="Times New Roman"/>
          <w:sz w:val="20"/>
          <w:szCs w:val="20"/>
        </w:rPr>
        <w:t>c</w:t>
      </w:r>
      <w:r w:rsidR="00E60A7C" w:rsidRPr="002536A5">
        <w:rPr>
          <w:rFonts w:ascii="Times New Roman" w:hAnsi="Times New Roman" w:cs="Times New Roman"/>
          <w:sz w:val="20"/>
          <w:szCs w:val="20"/>
        </w:rPr>
        <w:t>omparação entre 2018 e 2025)</w:t>
      </w:r>
    </w:p>
    <w:p w14:paraId="60BFB3A4" w14:textId="1E5932BD" w:rsidR="00E60A7C" w:rsidRDefault="00E60A7C" w:rsidP="005100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EEE6C3" wp14:editId="1DD5F39E">
            <wp:extent cx="4806950" cy="3187700"/>
            <wp:effectExtent l="0" t="0" r="0" b="0"/>
            <wp:docPr id="1994164153" name="Imagem 1" descr="Gráfico, Diagrama, Gráfico de explosão so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64153" name="Imagem 1" descr="Gráfico, Diagrama, Gráfico de explosão solar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7" t="7510" r="5456" b="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FFCAE" w14:textId="644171FC" w:rsidR="00E60A7C" w:rsidRDefault="00E60A7C" w:rsidP="00510024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hAnsi="Times New Roman" w:cs="Times New Roman"/>
          <w:sz w:val="20"/>
          <w:szCs w:val="20"/>
        </w:rPr>
        <w:t>Fonte: ABSOLAR / ANEEL</w:t>
      </w:r>
      <w:r w:rsidR="000404B5">
        <w:rPr>
          <w:rFonts w:ascii="Times New Roman" w:hAnsi="Times New Roman" w:cs="Times New Roman"/>
          <w:sz w:val="20"/>
          <w:szCs w:val="20"/>
        </w:rPr>
        <w:t xml:space="preserve"> (2025)</w:t>
      </w:r>
    </w:p>
    <w:p w14:paraId="3A31340E" w14:textId="77777777" w:rsidR="007D32F5" w:rsidRPr="002536A5" w:rsidRDefault="007D32F5" w:rsidP="001A515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41B0D6F" w14:textId="70150611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Historicamente, a geração de eletricidade sempre evoluiu acompanhando o crescimento da demanda e o surgimento de novas tecnologias. Desde a </w:t>
      </w:r>
      <w:r w:rsidR="00816A94">
        <w:rPr>
          <w:rFonts w:ascii="Times New Roman" w:hAnsi="Times New Roman" w:cs="Times New Roman"/>
          <w:sz w:val="24"/>
          <w:szCs w:val="24"/>
        </w:rPr>
        <w:t>r</w:t>
      </w:r>
      <w:r w:rsidRPr="00EE4ECE">
        <w:rPr>
          <w:rFonts w:ascii="Times New Roman" w:hAnsi="Times New Roman" w:cs="Times New Roman"/>
          <w:sz w:val="24"/>
          <w:szCs w:val="24"/>
        </w:rPr>
        <w:t xml:space="preserve">evolução </w:t>
      </w:r>
      <w:r w:rsidR="00816A94">
        <w:rPr>
          <w:rFonts w:ascii="Times New Roman" w:hAnsi="Times New Roman" w:cs="Times New Roman"/>
          <w:sz w:val="24"/>
          <w:szCs w:val="24"/>
        </w:rPr>
        <w:t>i</w:t>
      </w:r>
      <w:r w:rsidRPr="00EE4ECE">
        <w:rPr>
          <w:rFonts w:ascii="Times New Roman" w:hAnsi="Times New Roman" w:cs="Times New Roman"/>
          <w:sz w:val="24"/>
          <w:szCs w:val="24"/>
        </w:rPr>
        <w:t>ndustrial, a sociedade passou a depender de fontes como carvão, petróleo e gás natural. No Brasil, a abundância de recursos hídricos consolidou a hidreletricidade como a principal matriz. Contudo, os impactos ambientais, as variações climáticas e a crescente necessidade de diversificação impulsionaram o desenvolvimento de fontes alternativas, como a biomassa da cana-de-açúcar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 xml:space="preserve">., 2019). Um marco importante foi a crise do petróleo na década de 1970 que, junto às preocupações ambientais, estimulou investimentos em energias renováveis. Isso levou à criação do </w:t>
      </w:r>
      <w:r w:rsidR="00816A94">
        <w:rPr>
          <w:rFonts w:ascii="Times New Roman" w:hAnsi="Times New Roman" w:cs="Times New Roman"/>
          <w:sz w:val="24"/>
          <w:szCs w:val="24"/>
        </w:rPr>
        <w:t>p</w:t>
      </w:r>
      <w:r w:rsidRPr="00EE4ECE">
        <w:rPr>
          <w:rFonts w:ascii="Times New Roman" w:hAnsi="Times New Roman" w:cs="Times New Roman"/>
          <w:sz w:val="24"/>
          <w:szCs w:val="24"/>
        </w:rPr>
        <w:t xml:space="preserve">rograma </w:t>
      </w:r>
      <w:r w:rsidR="00816A94">
        <w:rPr>
          <w:rFonts w:ascii="Times New Roman" w:hAnsi="Times New Roman" w:cs="Times New Roman"/>
          <w:sz w:val="24"/>
          <w:szCs w:val="24"/>
        </w:rPr>
        <w:t>n</w:t>
      </w:r>
      <w:r w:rsidRPr="00EE4ECE">
        <w:rPr>
          <w:rFonts w:ascii="Times New Roman" w:hAnsi="Times New Roman" w:cs="Times New Roman"/>
          <w:sz w:val="24"/>
          <w:szCs w:val="24"/>
        </w:rPr>
        <w:t xml:space="preserve">acional do </w:t>
      </w:r>
      <w:r w:rsidR="00816A94">
        <w:rPr>
          <w:rFonts w:ascii="Times New Roman" w:hAnsi="Times New Roman" w:cs="Times New Roman"/>
          <w:sz w:val="24"/>
          <w:szCs w:val="24"/>
        </w:rPr>
        <w:t>á</w:t>
      </w:r>
      <w:r w:rsidRPr="00EE4ECE">
        <w:rPr>
          <w:rFonts w:ascii="Times New Roman" w:hAnsi="Times New Roman" w:cs="Times New Roman"/>
          <w:sz w:val="24"/>
          <w:szCs w:val="24"/>
        </w:rPr>
        <w:t>lcool (Proálcool) em 1975, iniciativa que fomentou a produção de etanol e incentivou o uso do bagaço da cana na geração de energia, promovendo a autossuficiência das usinas e reduzindo a dependência de combustíveis fósseis (</w:t>
      </w:r>
      <w:r w:rsidR="00FB18BB">
        <w:rPr>
          <w:rFonts w:ascii="Times New Roman" w:hAnsi="Times New Roman" w:cs="Times New Roman"/>
          <w:sz w:val="24"/>
          <w:szCs w:val="24"/>
        </w:rPr>
        <w:t>FIORI</w:t>
      </w:r>
      <w:r w:rsidRPr="00EE4ECE">
        <w:rPr>
          <w:rFonts w:ascii="Times New Roman" w:hAnsi="Times New Roman" w:cs="Times New Roman"/>
          <w:sz w:val="24"/>
          <w:szCs w:val="24"/>
        </w:rPr>
        <w:t xml:space="preserve">, 2011). Desde então, a cogeração tem se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consolidado como uma solução eficiente para a geração descentralizada de eletricidade, contribuindo para a estabilidade do sistema elétrico nacional e para a sustentabilidade do nosso setor energético.</w:t>
      </w:r>
    </w:p>
    <w:p w14:paraId="6CDF050F" w14:textId="5B4D394F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cogeração de energia a partir da biomassa, em especial o bagaço de cana-de-açúcar, tem registrado forte expansão no Brasil, atingindo 21,9 GW de capacidade instalada em operação até junho de 2025, o que corresponde a 10,3 % da matriz elétrica centralizada nacional. A biomassas, registra-se 18,7 GW da capacidade instalada de cogeração em operação comercial no Brasil, sendo 13,03 GW de bagaço de cana (CEISE Br, 2025). Esse modelo tecnológico permite a produção simultânea de calor e eletricidade, o que resulta em maior eficiência energética e redução de perdas quando comparado às termelétricas convencionais (</w:t>
      </w:r>
      <w:r w:rsidR="00FB18BB">
        <w:rPr>
          <w:rFonts w:ascii="Times New Roman" w:hAnsi="Times New Roman" w:cs="Times New Roman"/>
          <w:sz w:val="24"/>
          <w:szCs w:val="24"/>
        </w:rPr>
        <w:t>FIORI</w:t>
      </w:r>
      <w:r w:rsidRPr="00EE4ECE">
        <w:rPr>
          <w:rFonts w:ascii="Times New Roman" w:hAnsi="Times New Roman" w:cs="Times New Roman"/>
          <w:sz w:val="24"/>
          <w:szCs w:val="24"/>
        </w:rPr>
        <w:t xml:space="preserve">, 2011; 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 Além disso, a cogeração tornou-se estratégica para a competitividade do setor sucroenergético e contribui para a consolidação da biomassa como fonte relevante da matriz elétrica brasileira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</w:t>
      </w:r>
      <w:r w:rsidR="00812175">
        <w:rPr>
          <w:rFonts w:ascii="Times New Roman" w:hAnsi="Times New Roman" w:cs="Times New Roman"/>
          <w:sz w:val="24"/>
          <w:szCs w:val="24"/>
        </w:rPr>
        <w:t xml:space="preserve"> detalhada na </w:t>
      </w:r>
      <w:r w:rsidR="00DF11CF">
        <w:rPr>
          <w:rFonts w:ascii="Times New Roman" w:hAnsi="Times New Roman" w:cs="Times New Roman"/>
          <w:sz w:val="24"/>
          <w:szCs w:val="24"/>
        </w:rPr>
        <w:t>F</w:t>
      </w:r>
      <w:r w:rsidR="00812175">
        <w:rPr>
          <w:rFonts w:ascii="Times New Roman" w:hAnsi="Times New Roman" w:cs="Times New Roman"/>
          <w:sz w:val="24"/>
          <w:szCs w:val="24"/>
        </w:rPr>
        <w:t>igura 2 abaixo</w:t>
      </w:r>
      <w:r w:rsidRPr="00EE4ECE">
        <w:rPr>
          <w:rFonts w:ascii="Times New Roman" w:hAnsi="Times New Roman" w:cs="Times New Roman"/>
          <w:sz w:val="24"/>
          <w:szCs w:val="24"/>
        </w:rPr>
        <w:t>.</w:t>
      </w:r>
    </w:p>
    <w:p w14:paraId="09508F59" w14:textId="77777777" w:rsidR="00A25792" w:rsidRDefault="00A25792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64E3B" w14:textId="1116A536" w:rsidR="00AE3BB4" w:rsidRPr="002536A5" w:rsidRDefault="00AE3BB4" w:rsidP="00AE3BB4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>Figura</w:t>
      </w:r>
      <w:r w:rsidR="00096AD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</w:t>
      </w:r>
      <w:r w:rsidRPr="002536A5">
        <w:rPr>
          <w:rFonts w:ascii="Times New Roman" w:hAnsi="Times New Roman" w:cs="Times New Roman"/>
          <w:sz w:val="20"/>
          <w:szCs w:val="20"/>
        </w:rPr>
        <w:t xml:space="preserve"> - Matriz e</w:t>
      </w:r>
      <w:r>
        <w:rPr>
          <w:rFonts w:ascii="Times New Roman" w:hAnsi="Times New Roman" w:cs="Times New Roman"/>
          <w:sz w:val="20"/>
          <w:szCs w:val="20"/>
        </w:rPr>
        <w:t>l</w:t>
      </w:r>
      <w:r w:rsidRPr="002536A5">
        <w:rPr>
          <w:rFonts w:ascii="Times New Roman" w:hAnsi="Times New Roman" w:cs="Times New Roman"/>
          <w:sz w:val="20"/>
          <w:szCs w:val="20"/>
        </w:rPr>
        <w:t>ét</w:t>
      </w:r>
      <w:r>
        <w:rPr>
          <w:rFonts w:ascii="Times New Roman" w:hAnsi="Times New Roman" w:cs="Times New Roman"/>
          <w:sz w:val="20"/>
          <w:szCs w:val="20"/>
        </w:rPr>
        <w:t>r</w:t>
      </w:r>
      <w:r w:rsidRPr="002536A5">
        <w:rPr>
          <w:rFonts w:ascii="Times New Roman" w:hAnsi="Times New Roman" w:cs="Times New Roman"/>
          <w:sz w:val="20"/>
          <w:szCs w:val="20"/>
        </w:rPr>
        <w:t xml:space="preserve">ica brasileira </w:t>
      </w:r>
      <w:r>
        <w:rPr>
          <w:rFonts w:ascii="Times New Roman" w:hAnsi="Times New Roman" w:cs="Times New Roman"/>
          <w:sz w:val="20"/>
          <w:szCs w:val="20"/>
        </w:rPr>
        <w:t>2024</w:t>
      </w:r>
    </w:p>
    <w:p w14:paraId="46051B3B" w14:textId="3525F05D" w:rsidR="00AE3BB4" w:rsidRDefault="00AE3BB4" w:rsidP="00AE3B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E3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82ED0A" wp14:editId="67C70770">
            <wp:extent cx="3457574" cy="2941672"/>
            <wp:effectExtent l="0" t="0" r="0" b="0"/>
            <wp:docPr id="359707109" name="Imagem 1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07109" name="Imagem 1" descr="Gráfico, Gráfico de bolh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018" cy="29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7FE" w14:textId="41A14E30" w:rsidR="00AE3BB4" w:rsidRDefault="00AE3BB4" w:rsidP="00AE3BB4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hAnsi="Times New Roman" w:cs="Times New Roman"/>
          <w:sz w:val="20"/>
          <w:szCs w:val="20"/>
        </w:rPr>
        <w:t>Fonte: ABSOLAR / ANEEL</w:t>
      </w:r>
      <w:r w:rsidR="000404B5">
        <w:rPr>
          <w:rFonts w:ascii="Times New Roman" w:hAnsi="Times New Roman" w:cs="Times New Roman"/>
          <w:sz w:val="20"/>
          <w:szCs w:val="20"/>
        </w:rPr>
        <w:t xml:space="preserve"> (2025)</w:t>
      </w:r>
    </w:p>
    <w:p w14:paraId="6DCC2158" w14:textId="77777777" w:rsidR="00567837" w:rsidRDefault="00567837" w:rsidP="001A515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2D1F0F5" w14:textId="1854399F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Nos últimos anos, a Indústria 4.0 tem promovido transformações significativas no setor energético, integrando tecnologias digitais, automação avançada e inteligência artificial aos processos produtivos. No setor sucroalcooleiro, essas inovações estão revolucionando a cogeração ao permitir o monitoramento preciso das caldeiras, turbinas e geradores, além de otimizar a gestão da biomassa e a distribuição da eletricidade (</w:t>
      </w:r>
      <w:r w:rsidR="00FB18BB">
        <w:rPr>
          <w:rFonts w:ascii="Times New Roman" w:hAnsi="Times New Roman" w:cs="Times New Roman"/>
          <w:sz w:val="24"/>
          <w:szCs w:val="24"/>
        </w:rPr>
        <w:t>GROTTO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 xml:space="preserve">., 2021).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A digitalização possibilita a manutenção preditiva dos equipamentos, reduzindo falhas operacionais e custos. Sensores inteligentes e sistemas de controle remoto garantem maior estabilidade na geração de energia, enquanto algoritmos de inteligência artificial analisam dados em tempo real para aprimorar o desempenho da cogeração. Assim, a modernização tecnológica não apenas melhora a eficiência do sistema, mas também fortalece a segurança energética e a competitividade do setor sucroalcooleiro (</w:t>
      </w:r>
      <w:r w:rsidR="00FB18BB">
        <w:rPr>
          <w:rFonts w:ascii="Times New Roman" w:hAnsi="Times New Roman" w:cs="Times New Roman"/>
          <w:sz w:val="24"/>
          <w:szCs w:val="24"/>
        </w:rPr>
        <w:t>BILATTO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2020).</w:t>
      </w:r>
    </w:p>
    <w:p w14:paraId="0B15BF0C" w14:textId="1E76AE46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cogeração a partir da biomassa oferece múltiplos benefícios ambientais e econômicos. O uso combinado de calor e eletricidade assegura uma eficiência energética superior aos sistemas tradicionais. A autossuficiência das usinas reduz custos operacionais, e a substituição de combustíveis fósseis pela biomassa contribui diretamente para a redução das emissões de gases de efeito estufa, alinhando-se às metas globais de descarbonização. Além disso, o excedente de eletricidade pode ser comercializado no mercado livre, gerando uma receita adicional para as usinas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 Atualmente, a biomassa do bagaço da cana-de-açúcar representa cerca de 60,1% da capacidade instalada de cogeração no Brasil, o que sublinha sua importância para a matriz energética nacional (</w:t>
      </w:r>
      <w:r w:rsidR="00FB18BB">
        <w:rPr>
          <w:rFonts w:ascii="Times New Roman" w:hAnsi="Times New Roman" w:cs="Times New Roman"/>
          <w:sz w:val="24"/>
          <w:szCs w:val="24"/>
        </w:rPr>
        <w:t>JORNAL CANA</w:t>
      </w:r>
      <w:r w:rsidRPr="00EE4ECE">
        <w:rPr>
          <w:rFonts w:ascii="Times New Roman" w:hAnsi="Times New Roman" w:cs="Times New Roman"/>
          <w:sz w:val="24"/>
          <w:szCs w:val="24"/>
        </w:rPr>
        <w:t>, 2023).</w:t>
      </w:r>
    </w:p>
    <w:p w14:paraId="5C4EF33E" w14:textId="50C8B377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Diante desse cenário promissor, este estudo tem como objetivo principal analisar </w:t>
      </w:r>
      <w:r w:rsidR="00037978">
        <w:rPr>
          <w:rFonts w:ascii="Times New Roman" w:hAnsi="Times New Roman" w:cs="Times New Roman"/>
          <w:sz w:val="24"/>
          <w:szCs w:val="24"/>
        </w:rPr>
        <w:t>como ocorre a</w:t>
      </w:r>
      <w:r w:rsidR="00037978"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Pr="00EE4ECE">
        <w:rPr>
          <w:rFonts w:ascii="Times New Roman" w:hAnsi="Times New Roman" w:cs="Times New Roman"/>
          <w:sz w:val="24"/>
          <w:szCs w:val="24"/>
        </w:rPr>
        <w:t>geração de eletricidade a partir do bagaço da cana-de-açúcar na Usina São João, localizada em Araras no interior de São Paulo</w:t>
      </w:r>
      <w:r w:rsidR="00812175">
        <w:rPr>
          <w:rFonts w:ascii="Times New Roman" w:hAnsi="Times New Roman" w:cs="Times New Roman"/>
          <w:sz w:val="24"/>
          <w:szCs w:val="24"/>
        </w:rPr>
        <w:t xml:space="preserve"> conforme a </w:t>
      </w:r>
      <w:r w:rsidR="00DF11CF">
        <w:rPr>
          <w:rFonts w:ascii="Times New Roman" w:hAnsi="Times New Roman" w:cs="Times New Roman"/>
          <w:sz w:val="24"/>
          <w:szCs w:val="24"/>
        </w:rPr>
        <w:t>F</w:t>
      </w:r>
      <w:r w:rsidR="00812175">
        <w:rPr>
          <w:rFonts w:ascii="Times New Roman" w:hAnsi="Times New Roman" w:cs="Times New Roman"/>
          <w:sz w:val="24"/>
          <w:szCs w:val="24"/>
        </w:rPr>
        <w:t>igura 3</w:t>
      </w:r>
      <w:r w:rsidR="00037978">
        <w:rPr>
          <w:rFonts w:ascii="Times New Roman" w:hAnsi="Times New Roman" w:cs="Times New Roman"/>
          <w:sz w:val="24"/>
          <w:szCs w:val="24"/>
        </w:rPr>
        <w:t>, incluindo</w:t>
      </w:r>
      <w:r w:rsidRPr="00EE4ECE">
        <w:rPr>
          <w:rFonts w:ascii="Times New Roman" w:hAnsi="Times New Roman" w:cs="Times New Roman"/>
          <w:sz w:val="24"/>
          <w:szCs w:val="24"/>
        </w:rPr>
        <w:t xml:space="preserve"> aspectos técnicos como os equipamentos utilizados, a sincronização com a rede elétrica da concessionária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EE4ECE">
        <w:rPr>
          <w:rFonts w:ascii="Times New Roman" w:hAnsi="Times New Roman" w:cs="Times New Roman"/>
          <w:sz w:val="24"/>
          <w:szCs w:val="24"/>
        </w:rPr>
        <w:t xml:space="preserve"> e os impactos da modernização tecnológica na eficiência operacional </w:t>
      </w:r>
      <w:r w:rsidR="00037978">
        <w:rPr>
          <w:rFonts w:ascii="Times New Roman" w:hAnsi="Times New Roman" w:cs="Times New Roman"/>
          <w:sz w:val="24"/>
          <w:szCs w:val="24"/>
        </w:rPr>
        <w:t>com a importação e exportação de energia</w:t>
      </w:r>
      <w:r w:rsidRPr="00EE4ECE">
        <w:rPr>
          <w:rFonts w:ascii="Times New Roman" w:hAnsi="Times New Roman" w:cs="Times New Roman"/>
          <w:sz w:val="24"/>
          <w:szCs w:val="24"/>
        </w:rPr>
        <w:t xml:space="preserve">. Esta pesquisa é qualitativa e descritiva, baseada em revisão bibliográfica de documentos e manuais técnicos, além de apresentar um estudo de caso para a </w:t>
      </w:r>
      <w:r w:rsidR="00816A94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 xml:space="preserve">sina São João considerando os processos de cogeração de energia utilizados, os investimentos realizados, as tecnologias empregadas, os desafios enfrentados na operação do sistema e as implicações das penalidades por ultrapassagem dos limites de energia contratados, que são de 5 MW para importação e 12 MW para exportação atualmente, estabelecidos no âmbito do </w:t>
      </w:r>
      <w:r w:rsidR="00816A94">
        <w:rPr>
          <w:rFonts w:ascii="Times New Roman" w:hAnsi="Times New Roman" w:cs="Times New Roman"/>
          <w:sz w:val="24"/>
          <w:szCs w:val="24"/>
        </w:rPr>
        <w:t>a</w:t>
      </w:r>
      <w:r w:rsidRPr="00EE4ECE">
        <w:rPr>
          <w:rFonts w:ascii="Times New Roman" w:hAnsi="Times New Roman" w:cs="Times New Roman"/>
          <w:sz w:val="24"/>
          <w:szCs w:val="24"/>
        </w:rPr>
        <w:t xml:space="preserve">mbiente de </w:t>
      </w:r>
      <w:r w:rsidR="00816A94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ontratação </w:t>
      </w:r>
      <w:r w:rsidR="00816A94">
        <w:rPr>
          <w:rFonts w:ascii="Times New Roman" w:hAnsi="Times New Roman" w:cs="Times New Roman"/>
          <w:sz w:val="24"/>
          <w:szCs w:val="24"/>
        </w:rPr>
        <w:t>r</w:t>
      </w:r>
      <w:r w:rsidRPr="00EE4ECE">
        <w:rPr>
          <w:rFonts w:ascii="Times New Roman" w:hAnsi="Times New Roman" w:cs="Times New Roman"/>
          <w:sz w:val="24"/>
          <w:szCs w:val="24"/>
        </w:rPr>
        <w:t>egulada (ACR) com a Neoenergia Elektro.</w:t>
      </w:r>
    </w:p>
    <w:p w14:paraId="5429C62E" w14:textId="77777777" w:rsidR="00C32C93" w:rsidRDefault="00C32C93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46BC3B" w14:textId="77777777" w:rsidR="000404B5" w:rsidRDefault="000404B5" w:rsidP="00C32C9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E79D8DF" w14:textId="77777777" w:rsidR="000404B5" w:rsidRDefault="000404B5" w:rsidP="00C32C9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69E4059" w14:textId="77777777" w:rsidR="000404B5" w:rsidRDefault="000404B5" w:rsidP="00C32C9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66F1780" w14:textId="0B364935" w:rsidR="00C32C93" w:rsidRPr="00C32C93" w:rsidRDefault="00C32C93" w:rsidP="00C32C9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32C93">
        <w:rPr>
          <w:rFonts w:ascii="Times New Roman" w:hAnsi="Times New Roman" w:cs="Times New Roman"/>
          <w:sz w:val="20"/>
          <w:szCs w:val="20"/>
        </w:rPr>
        <w:lastRenderedPageBreak/>
        <w:t xml:space="preserve">Figura 3 - USJ usina São João </w:t>
      </w:r>
    </w:p>
    <w:p w14:paraId="0C1E66FC" w14:textId="3421F98B" w:rsidR="00ED183E" w:rsidRDefault="00C32C93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F0AA22" wp14:editId="3BC29D86">
            <wp:extent cx="5400040" cy="3292475"/>
            <wp:effectExtent l="0" t="0" r="0" b="3175"/>
            <wp:docPr id="1753264438" name="Imagem 3" descr="Vista aérea de casas e prédios na beira da ág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64438" name="Imagem 3" descr="Vista aérea de casas e prédios na beira da águ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DCD8" w14:textId="4C21A41A" w:rsidR="00C32C93" w:rsidRDefault="00C32C93" w:rsidP="00C32C9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32C93">
        <w:rPr>
          <w:rFonts w:ascii="Times New Roman" w:hAnsi="Times New Roman" w:cs="Times New Roman"/>
          <w:sz w:val="20"/>
          <w:szCs w:val="20"/>
        </w:rPr>
        <w:t>Fonte: O autor</w:t>
      </w:r>
      <w:r w:rsidR="000404B5">
        <w:rPr>
          <w:rFonts w:ascii="Times New Roman" w:hAnsi="Times New Roman" w:cs="Times New Roman"/>
          <w:sz w:val="20"/>
          <w:szCs w:val="20"/>
        </w:rPr>
        <w:t xml:space="preserve"> (2025)</w:t>
      </w:r>
    </w:p>
    <w:p w14:paraId="19FEDC9E" w14:textId="77777777" w:rsidR="00C32C93" w:rsidRPr="00C32C93" w:rsidRDefault="00C32C93" w:rsidP="001A51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D68117" w14:textId="4DE2D8F7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2. Revisão de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iteratura</w:t>
      </w:r>
    </w:p>
    <w:p w14:paraId="5F7B6B14" w14:textId="77D09669" w:rsidR="00BF4127" w:rsidRDefault="00BF4127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127">
        <w:rPr>
          <w:rFonts w:ascii="Times New Roman" w:hAnsi="Times New Roman" w:cs="Times New Roman"/>
          <w:sz w:val="24"/>
          <w:szCs w:val="24"/>
        </w:rPr>
        <w:t>Esta seção fundamenta o estudo da cogeração a partir da biomassa, abordando sua evolução histórica, o processo técnico, os impactos da modernização e seus benefícios socioambientais.</w:t>
      </w:r>
    </w:p>
    <w:p w14:paraId="6D59A4BC" w14:textId="77777777" w:rsidR="00BF4127" w:rsidRPr="00EE4ECE" w:rsidRDefault="00BF4127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33AF4" w14:textId="07917937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2.1. Evolução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eração de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nergia e o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apel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iomassa</w:t>
      </w:r>
    </w:p>
    <w:p w14:paraId="2A64DDE3" w14:textId="34B169C7" w:rsidR="009B0589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história da geração de energia elétrica é marcada por uma constante adaptação às inovações e à crescente demanda global. Desde a dependência pré-industrial de fontes como madeira, hídrica e eólica, a Revolução Industrial trouxe o carvão mineral como principal motor de crescimento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</w:t>
      </w:r>
      <w:r w:rsidR="00812175">
        <w:rPr>
          <w:rFonts w:ascii="Times New Roman" w:hAnsi="Times New Roman" w:cs="Times New Roman"/>
          <w:sz w:val="24"/>
          <w:szCs w:val="24"/>
        </w:rPr>
        <w:t xml:space="preserve"> detalhada na </w:t>
      </w:r>
      <w:r w:rsidR="00DF11CF">
        <w:rPr>
          <w:rFonts w:ascii="Times New Roman" w:hAnsi="Times New Roman" w:cs="Times New Roman"/>
          <w:sz w:val="24"/>
          <w:szCs w:val="24"/>
        </w:rPr>
        <w:t>F</w:t>
      </w:r>
      <w:r w:rsidR="00812175">
        <w:rPr>
          <w:rFonts w:ascii="Times New Roman" w:hAnsi="Times New Roman" w:cs="Times New Roman"/>
          <w:sz w:val="24"/>
          <w:szCs w:val="24"/>
        </w:rPr>
        <w:t>igura 4 abaixo</w:t>
      </w:r>
      <w:r w:rsidRPr="00EE4E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FDF36E" w14:textId="77777777" w:rsidR="009B0589" w:rsidRDefault="009B0589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4D301F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E09AAB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B1D3B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405DF0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1119E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257F3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69A18" w14:textId="77777777" w:rsidR="00736A04" w:rsidRDefault="00736A0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CDF90" w14:textId="78CD5301" w:rsidR="009B0589" w:rsidRPr="009B0589" w:rsidRDefault="009B0589" w:rsidP="009B0589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B0589">
        <w:rPr>
          <w:rFonts w:ascii="Times New Roman" w:hAnsi="Times New Roman" w:cs="Times New Roman"/>
          <w:sz w:val="20"/>
          <w:szCs w:val="20"/>
        </w:rPr>
        <w:lastRenderedPageBreak/>
        <w:t>Figura</w:t>
      </w:r>
      <w:r>
        <w:rPr>
          <w:rFonts w:ascii="Times New Roman" w:hAnsi="Times New Roman" w:cs="Times New Roman"/>
          <w:sz w:val="20"/>
          <w:szCs w:val="20"/>
        </w:rPr>
        <w:t xml:space="preserve"> 4 - Revolução industrial até os dias atuais</w:t>
      </w:r>
    </w:p>
    <w:p w14:paraId="7EFD30B7" w14:textId="77777777" w:rsidR="00567837" w:rsidRDefault="000404B5" w:rsidP="009B058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04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B3DDD" wp14:editId="265DEDD3">
            <wp:extent cx="4383865" cy="2784764"/>
            <wp:effectExtent l="0" t="0" r="0" b="0"/>
            <wp:docPr id="161046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572" cy="283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E474" w14:textId="3DBEB5A0" w:rsidR="009B0589" w:rsidRDefault="009B0589" w:rsidP="009B0589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Fonte: </w:t>
      </w:r>
      <w:r w:rsidR="000404B5" w:rsidRPr="000404B5">
        <w:rPr>
          <w:rFonts w:ascii="Times New Roman" w:hAnsi="Times New Roman" w:cs="Times New Roman"/>
          <w:sz w:val="20"/>
          <w:szCs w:val="20"/>
        </w:rPr>
        <w:t>Rodrigues (2022)</w:t>
      </w:r>
    </w:p>
    <w:p w14:paraId="2A2B9F01" w14:textId="77777777" w:rsidR="00736A04" w:rsidRDefault="00736A04" w:rsidP="009B0589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5997630" w14:textId="7255BF04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No século XX, o petróleo e o gás natural consolidaram-se, mas seu uso em larga escala gerou impactos ambientais severos, como o aumento das emissões de gases de efeito estufa (GEE) e o agravamento das mudanças climáticas (</w:t>
      </w:r>
      <w:r w:rsidR="00FB18BB">
        <w:rPr>
          <w:rFonts w:ascii="Times New Roman" w:hAnsi="Times New Roman" w:cs="Times New Roman"/>
          <w:sz w:val="24"/>
          <w:szCs w:val="24"/>
        </w:rPr>
        <w:t>RÜHL</w:t>
      </w:r>
      <w:r w:rsidRPr="00EE4ECE">
        <w:rPr>
          <w:rFonts w:ascii="Times New Roman" w:hAnsi="Times New Roman" w:cs="Times New Roman"/>
          <w:sz w:val="24"/>
          <w:szCs w:val="24"/>
        </w:rPr>
        <w:t>, 2012). No Brasil, a abundância hídrica levou à consolidação da hidroeletricidade como matriz dominante. Contudo, a vulnerabilidade a períodos de seca e os impactos socioambientais das grandes usinas impulsionaram a busca por fontes complementares e sustentáveis (</w:t>
      </w:r>
      <w:r w:rsidR="00FB18BB">
        <w:rPr>
          <w:rFonts w:ascii="Times New Roman" w:hAnsi="Times New Roman" w:cs="Times New Roman"/>
          <w:sz w:val="24"/>
          <w:szCs w:val="24"/>
        </w:rPr>
        <w:t>FIORI</w:t>
      </w:r>
      <w:r w:rsidRPr="00EE4ECE">
        <w:rPr>
          <w:rFonts w:ascii="Times New Roman" w:hAnsi="Times New Roman" w:cs="Times New Roman"/>
          <w:sz w:val="24"/>
          <w:szCs w:val="24"/>
        </w:rPr>
        <w:t>, 2011).</w:t>
      </w:r>
    </w:p>
    <w:p w14:paraId="3B57D738" w14:textId="7FF65681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Nesse contexto, a biomassa emerge como uma alternativa renovável e estratégica. Definida como qualquer matéria orgânica de origem vegetal ou animal que pode ser convertida em energia (como resíduos agrícolas, florestais, industriais e subprodutos da agroindústria), a biomassa pode ser processada por combustão direta, gaseificação e biodigestão anaeróbia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2019). Sua relevância se dá por sua capacidade de reduzir o impacto ambiental. Ao contrário dos combustíveis fósseis, que adicionam carbono de forma cumulativa na atmosfera, a biomassa emite um carbono que já foi absorvido pelas plantas, resultando em uma emissão líquida de CO₂ neutra ou reduzida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</w:t>
      </w:r>
    </w:p>
    <w:p w14:paraId="33E859A2" w14:textId="62E4FEFF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No Brasil, o setor sucroalcooleiro é um exemplo da utilização da biomassa para geração de energia. A produção de açúcar e etanol gera vastas quantidades de bagaço de cana-de-açúcar, um subproduto valioso que, ao ser queimado em caldeiras, gera vapor e eletricidade. Esse processo, conhecido como cogeração, permite que as usinas atinjam a autossuficiência energética e, muitas vezes, exportem o excedente para o </w:t>
      </w:r>
      <w:r w:rsidR="00816A94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 xml:space="preserve">istema </w:t>
      </w:r>
      <w:r w:rsidR="00816A94">
        <w:rPr>
          <w:rFonts w:ascii="Times New Roman" w:hAnsi="Times New Roman" w:cs="Times New Roman"/>
          <w:sz w:val="24"/>
          <w:szCs w:val="24"/>
        </w:rPr>
        <w:lastRenderedPageBreak/>
        <w:t>i</w:t>
      </w:r>
      <w:r w:rsidRPr="00EE4ECE">
        <w:rPr>
          <w:rFonts w:ascii="Times New Roman" w:hAnsi="Times New Roman" w:cs="Times New Roman"/>
          <w:sz w:val="24"/>
          <w:szCs w:val="24"/>
        </w:rPr>
        <w:t xml:space="preserve">nterligado </w:t>
      </w:r>
      <w:r w:rsidR="00816A94">
        <w:rPr>
          <w:rFonts w:ascii="Times New Roman" w:hAnsi="Times New Roman" w:cs="Times New Roman"/>
          <w:sz w:val="24"/>
          <w:szCs w:val="24"/>
        </w:rPr>
        <w:t>n</w:t>
      </w:r>
      <w:r w:rsidRPr="00EE4ECE">
        <w:rPr>
          <w:rFonts w:ascii="Times New Roman" w:hAnsi="Times New Roman" w:cs="Times New Roman"/>
          <w:sz w:val="24"/>
          <w:szCs w:val="24"/>
        </w:rPr>
        <w:t>acional (SIN) (</w:t>
      </w:r>
      <w:r w:rsidR="00FB18BB">
        <w:rPr>
          <w:rFonts w:ascii="Times New Roman" w:hAnsi="Times New Roman" w:cs="Times New Roman"/>
          <w:sz w:val="24"/>
          <w:szCs w:val="24"/>
        </w:rPr>
        <w:t>GROTTO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2021). Além do bagaço, a palha da cana-de-açúcar tem ganhado destaque. A mecanização da colheita viabilizou a coleta e o aproveitamento dessa palha para a geração de eletricidade, ampliando significativamente a contribuição do setor para a matriz energética nacional. Estudos sugerem que a utilização combinada de bagaço e palha poderia dobrar a produção de eletricidade, fortalecendo a competitividade e sustentabilidade do setor (</w:t>
      </w:r>
      <w:r w:rsidR="00FB18BB">
        <w:rPr>
          <w:rFonts w:ascii="Times New Roman" w:hAnsi="Times New Roman" w:cs="Times New Roman"/>
          <w:sz w:val="24"/>
          <w:szCs w:val="24"/>
        </w:rPr>
        <w:t>BILATTO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2020).</w:t>
      </w:r>
    </w:p>
    <w:p w14:paraId="4F91AD26" w14:textId="77777777" w:rsidR="00096ADC" w:rsidRPr="00EE4ECE" w:rsidRDefault="00096ADC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370F8" w14:textId="2DA606A8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2.2. Benefícios 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esafios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iomassa</w:t>
      </w:r>
    </w:p>
    <w:p w14:paraId="2BD1C11F" w14:textId="77777777" w:rsidR="00EE4ECE" w:rsidRPr="00EE4ECE" w:rsidRDefault="00EE4ECE" w:rsidP="007D08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O uso de biomassa como fonte de energia traz uma série de benefícios em diversas áreas:</w:t>
      </w:r>
    </w:p>
    <w:p w14:paraId="28EA92D0" w14:textId="1D899412" w:rsidR="00EE4ECE" w:rsidRPr="00EE4ECE" w:rsidRDefault="00EE4ECE" w:rsidP="007D084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Ambientais: A biomassa é considerada uma fonte de energia carbono-neutro, uma vez que o CO₂ emitido na sua combustão é reabsorvido pelas plantas durante seu crescimento. Além disso, a utilização de resíduos agrícolas e industriais reduz o descarte inadequado e minimiza impactos ambientais relacionados ao acúmulo de detritos orgânicos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</w:t>
      </w:r>
    </w:p>
    <w:p w14:paraId="4A0EF327" w14:textId="6C233E4E" w:rsidR="00EE4ECE" w:rsidRPr="00EE4ECE" w:rsidRDefault="00EE4ECE" w:rsidP="00F56D69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Econômicos: A geração de energia a partir da biomassa contribui para a independência energética do Brasil, reduzindo a dependência de combustíveis fósseis importados. O setor sucroalcooleiro, ao vender o excedente de eletricidade, diversifica suas fontes de receita e aumenta sua competitividade no mercado de energia renovável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</w:t>
      </w:r>
    </w:p>
    <w:p w14:paraId="3A9304D9" w14:textId="4A995E42" w:rsidR="00EE4ECE" w:rsidRPr="00EE4ECE" w:rsidRDefault="00EE4ECE" w:rsidP="007D084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Sociais: O uso ampliado de biomassa para geração de energia pode gerar empregos diretos e indiretos, especialmente em áreas rurais. A pesquisa e o desenvolvimento de novas tecnologias para o aproveitamento da biomassa também promovem inovação e qualificação da mão de obra, trazendo benefícios sociais relevantes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2019).</w:t>
      </w:r>
    </w:p>
    <w:p w14:paraId="352DBEF7" w14:textId="3F119455" w:rsidR="00EE4ECE" w:rsidRDefault="00EE4ECE" w:rsidP="007D08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Apesar dos benefícios, há desafios a serem superados para que a biomassa atinja seu pleno potencial, como a necessidade de investimentos em infraestrutura para coleta, transporte e processamento da biomassa, além da implementação de tecnologias mais eficientes para sua conversão em energia. Políticas públicas e incentivos financeiros são essenciais para garantir a competitividade da biomassa em relação a outras fontes energéticas, especialmente no contexto da transição energética global (</w:t>
      </w:r>
      <w:r w:rsidR="00FB18BB">
        <w:rPr>
          <w:rFonts w:ascii="Times New Roman" w:hAnsi="Times New Roman" w:cs="Times New Roman"/>
          <w:sz w:val="24"/>
          <w:szCs w:val="24"/>
        </w:rPr>
        <w:t>GROTTO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2021).</w:t>
      </w:r>
    </w:p>
    <w:p w14:paraId="2CD4CED0" w14:textId="77777777" w:rsidR="00694313" w:rsidRPr="00EE4ECE" w:rsidRDefault="00694313" w:rsidP="00AF69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3E42B" w14:textId="55F1B5E9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2.3. O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rocesso de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ogeração no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etor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ucroalcooleiro</w:t>
      </w:r>
    </w:p>
    <w:p w14:paraId="34C7220B" w14:textId="40AB3515" w:rsidR="00F56D69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cogeração é um processo altamente eficiente de produção de energia, pois permite gerar eletricidade e calor útil simultaneamente a partir de uma única fonte de combustível. No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setor sucroalcooleiro, esse processo ocorre por meio da combustão do bagaço de cana em caldeiras de alta pressão, gerando vapor superaquecido que movimenta turbinas a vapor, responsáveis por acionar os geradores elétricos (</w:t>
      </w:r>
      <w:r w:rsidR="00FB18BB">
        <w:rPr>
          <w:rFonts w:ascii="Times New Roman" w:hAnsi="Times New Roman" w:cs="Times New Roman"/>
          <w:sz w:val="24"/>
          <w:szCs w:val="24"/>
        </w:rPr>
        <w:t>JORNAL CANA</w:t>
      </w:r>
      <w:r w:rsidRPr="00EE4ECE">
        <w:rPr>
          <w:rFonts w:ascii="Times New Roman" w:hAnsi="Times New Roman" w:cs="Times New Roman"/>
          <w:sz w:val="24"/>
          <w:szCs w:val="24"/>
        </w:rPr>
        <w:t>, 2023). O vapor utilizado no processo pode ser reaproveitado em várias etapas da produção industrial, como a evaporação do caldo de cana, aumentando a eficiência do sistema</w:t>
      </w:r>
      <w:r w:rsidR="00812175">
        <w:rPr>
          <w:rFonts w:ascii="Times New Roman" w:hAnsi="Times New Roman" w:cs="Times New Roman"/>
          <w:sz w:val="24"/>
          <w:szCs w:val="24"/>
        </w:rPr>
        <w:t xml:space="preserve"> conforme ilustrado na </w:t>
      </w:r>
      <w:r w:rsidR="00DF11CF">
        <w:rPr>
          <w:rFonts w:ascii="Times New Roman" w:hAnsi="Times New Roman" w:cs="Times New Roman"/>
          <w:sz w:val="24"/>
          <w:szCs w:val="24"/>
        </w:rPr>
        <w:t>F</w:t>
      </w:r>
      <w:r w:rsidR="00812175">
        <w:rPr>
          <w:rFonts w:ascii="Times New Roman" w:hAnsi="Times New Roman" w:cs="Times New Roman"/>
          <w:sz w:val="24"/>
          <w:szCs w:val="24"/>
        </w:rPr>
        <w:t>igura 5</w:t>
      </w:r>
      <w:r w:rsidRPr="00EE4ECE">
        <w:rPr>
          <w:rFonts w:ascii="Times New Roman" w:hAnsi="Times New Roman" w:cs="Times New Roman"/>
          <w:sz w:val="24"/>
          <w:szCs w:val="24"/>
        </w:rPr>
        <w:t>.</w:t>
      </w:r>
    </w:p>
    <w:p w14:paraId="47B5B14D" w14:textId="77777777" w:rsidR="009907E6" w:rsidRDefault="009907E6" w:rsidP="008B09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19040EE" w14:textId="3A2C3A96" w:rsidR="00010044" w:rsidRPr="002536A5" w:rsidRDefault="006E7DDA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>Figura</w:t>
      </w:r>
      <w:r w:rsidR="00010044" w:rsidRPr="002536A5">
        <w:rPr>
          <w:rFonts w:ascii="Times New Roman" w:hAnsi="Times New Roman" w:cs="Times New Roman"/>
          <w:sz w:val="20"/>
          <w:szCs w:val="20"/>
        </w:rPr>
        <w:t xml:space="preserve"> </w:t>
      </w:r>
      <w:r w:rsidR="00801CAF">
        <w:rPr>
          <w:rFonts w:ascii="Times New Roman" w:hAnsi="Times New Roman" w:cs="Times New Roman"/>
          <w:sz w:val="20"/>
          <w:szCs w:val="20"/>
        </w:rPr>
        <w:t>5</w:t>
      </w:r>
      <w:r w:rsidR="00010044" w:rsidRPr="002536A5">
        <w:rPr>
          <w:rFonts w:ascii="Times New Roman" w:hAnsi="Times New Roman" w:cs="Times New Roman"/>
          <w:sz w:val="20"/>
          <w:szCs w:val="20"/>
        </w:rPr>
        <w:t xml:space="preserve"> </w:t>
      </w:r>
      <w:r w:rsidR="00C32C93">
        <w:rPr>
          <w:rFonts w:ascii="Times New Roman" w:hAnsi="Times New Roman" w:cs="Times New Roman"/>
          <w:sz w:val="20"/>
          <w:szCs w:val="20"/>
        </w:rPr>
        <w:t>-</w:t>
      </w:r>
      <w:r w:rsidR="00010044" w:rsidRPr="002536A5">
        <w:rPr>
          <w:rFonts w:ascii="Times New Roman" w:hAnsi="Times New Roman" w:cs="Times New Roman"/>
          <w:sz w:val="20"/>
          <w:szCs w:val="20"/>
        </w:rPr>
        <w:t xml:space="preserve"> Fluxograma da </w:t>
      </w:r>
      <w:r w:rsidR="002536A5">
        <w:rPr>
          <w:rFonts w:ascii="Times New Roman" w:hAnsi="Times New Roman" w:cs="Times New Roman"/>
          <w:sz w:val="20"/>
          <w:szCs w:val="20"/>
        </w:rPr>
        <w:t>c</w:t>
      </w:r>
      <w:r w:rsidR="00010044" w:rsidRPr="002536A5">
        <w:rPr>
          <w:rFonts w:ascii="Times New Roman" w:hAnsi="Times New Roman" w:cs="Times New Roman"/>
          <w:sz w:val="20"/>
          <w:szCs w:val="20"/>
        </w:rPr>
        <w:t xml:space="preserve">ogeração em uma </w:t>
      </w:r>
      <w:r w:rsidR="002536A5">
        <w:rPr>
          <w:rFonts w:ascii="Times New Roman" w:hAnsi="Times New Roman" w:cs="Times New Roman"/>
          <w:sz w:val="20"/>
          <w:szCs w:val="20"/>
        </w:rPr>
        <w:t>u</w:t>
      </w:r>
      <w:r w:rsidR="00010044" w:rsidRPr="002536A5">
        <w:rPr>
          <w:rFonts w:ascii="Times New Roman" w:hAnsi="Times New Roman" w:cs="Times New Roman"/>
          <w:sz w:val="20"/>
          <w:szCs w:val="20"/>
        </w:rPr>
        <w:t xml:space="preserve">sina </w:t>
      </w:r>
      <w:r w:rsidR="002536A5">
        <w:rPr>
          <w:rFonts w:ascii="Times New Roman" w:hAnsi="Times New Roman" w:cs="Times New Roman"/>
          <w:sz w:val="20"/>
          <w:szCs w:val="20"/>
        </w:rPr>
        <w:t>s</w:t>
      </w:r>
      <w:r w:rsidR="00010044" w:rsidRPr="002536A5">
        <w:rPr>
          <w:rFonts w:ascii="Times New Roman" w:hAnsi="Times New Roman" w:cs="Times New Roman"/>
          <w:sz w:val="20"/>
          <w:szCs w:val="20"/>
        </w:rPr>
        <w:t xml:space="preserve">ucroalcooleira </w:t>
      </w:r>
    </w:p>
    <w:p w14:paraId="3EF6BC43" w14:textId="20C4C7D6" w:rsidR="00E60A7C" w:rsidRDefault="00010044" w:rsidP="008B09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717A72" wp14:editId="29DD58EC">
            <wp:extent cx="5400040" cy="3251200"/>
            <wp:effectExtent l="0" t="0" r="0" b="6350"/>
            <wp:docPr id="389912229" name="Imagem 2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12229" name="Imagem 2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E2C2" w14:textId="3CB0FD01" w:rsidR="00010044" w:rsidRDefault="00010044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hAnsi="Times New Roman" w:cs="Times New Roman"/>
          <w:sz w:val="20"/>
          <w:szCs w:val="20"/>
        </w:rPr>
        <w:t>Fonte: Energês</w:t>
      </w:r>
      <w:r w:rsidR="00381568">
        <w:rPr>
          <w:rFonts w:ascii="Times New Roman" w:hAnsi="Times New Roman" w:cs="Times New Roman"/>
          <w:sz w:val="20"/>
          <w:szCs w:val="20"/>
        </w:rPr>
        <w:t xml:space="preserve"> (202</w:t>
      </w:r>
      <w:r w:rsidR="00E00FCB">
        <w:rPr>
          <w:rFonts w:ascii="Times New Roman" w:hAnsi="Times New Roman" w:cs="Times New Roman"/>
          <w:sz w:val="20"/>
          <w:szCs w:val="20"/>
        </w:rPr>
        <w:t>2</w:t>
      </w:r>
      <w:r w:rsidR="00381568">
        <w:rPr>
          <w:rFonts w:ascii="Times New Roman" w:hAnsi="Times New Roman" w:cs="Times New Roman"/>
          <w:sz w:val="20"/>
          <w:szCs w:val="20"/>
        </w:rPr>
        <w:t>)</w:t>
      </w:r>
    </w:p>
    <w:p w14:paraId="4FA85B89" w14:textId="77777777" w:rsidR="00ED183E" w:rsidRPr="002536A5" w:rsidRDefault="00ED183E" w:rsidP="001A515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2CCC5FF" w14:textId="2CE57E34" w:rsidR="00ED183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estrutura de cogeração nas usinas sucroalcooleiras inclui caldeiras, turbinas, geradores elétricos, condensadores e sistemas de automação. As caldeiras modernas operam sob condições elevadas de pressão e temperatura, permitindo um aproveitamento otimizado da energia e redução de impactos ambientais. Sistemas de automação garantem a eficiência operacional, regulando a queima da biomassa e o fluxo de vapor de forma automática, minimizando desperdícios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2019).</w:t>
      </w:r>
    </w:p>
    <w:p w14:paraId="2D04D757" w14:textId="77777777" w:rsidR="00694313" w:rsidRPr="00EE4ECE" w:rsidRDefault="00694313" w:rsidP="00AF69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C33F12" w14:textId="0A2929DC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2.4. Indústria 4.0 e 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odernização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ogeração</w:t>
      </w:r>
    </w:p>
    <w:p w14:paraId="3B5791D9" w14:textId="3105A751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modernização do setor sucroalcooleiro é impulsionada pela Indústria 4.0, que incorpora tecnologias como </w:t>
      </w:r>
      <w:r w:rsidR="00816A94">
        <w:rPr>
          <w:rFonts w:ascii="Times New Roman" w:hAnsi="Times New Roman" w:cs="Times New Roman"/>
          <w:sz w:val="24"/>
          <w:szCs w:val="24"/>
        </w:rPr>
        <w:t>i</w:t>
      </w:r>
      <w:r w:rsidRPr="00EE4ECE">
        <w:rPr>
          <w:rFonts w:ascii="Times New Roman" w:hAnsi="Times New Roman" w:cs="Times New Roman"/>
          <w:sz w:val="24"/>
          <w:szCs w:val="24"/>
        </w:rPr>
        <w:t xml:space="preserve">nternet das </w:t>
      </w:r>
      <w:r w:rsidR="00816A94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oisas (IoT), inteligência artificial, big data e automação avançada. No contexto da cogeração, essas tecnologias possibilitam o monitoramento preciso de variáveis operacionais, como temperatura, pressão e umidade do bagaço,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permitindo ajustes em tempo real para maximizar a eficiência energética (</w:t>
      </w:r>
      <w:r w:rsidR="00FB18BB">
        <w:rPr>
          <w:rFonts w:ascii="Times New Roman" w:hAnsi="Times New Roman" w:cs="Times New Roman"/>
          <w:sz w:val="24"/>
          <w:szCs w:val="24"/>
        </w:rPr>
        <w:t>GROTTO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2021).</w:t>
      </w:r>
    </w:p>
    <w:p w14:paraId="2982F27F" w14:textId="4C409727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análise preditiva, baseada em dados coletados por sensores inteligentes, ajuda a antecipar falhas e evitar paradas inesperadas nos sistemas de cogeração. Além disso, a digitalização do setor favorece a integração com redes elétricas inteligentes, facilitando o gerenciamento da distribuição de energia e a comercialização do excedente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</w:t>
      </w:r>
    </w:p>
    <w:p w14:paraId="3BB18C2D" w14:textId="77777777" w:rsidR="009C0BAF" w:rsidRDefault="009C0BAF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DC29D" w14:textId="28137E9E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2.5. Benefícios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conômicos,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mbientais 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ociais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ogeração</w:t>
      </w:r>
    </w:p>
    <w:p w14:paraId="023FB7A9" w14:textId="77777777" w:rsidR="00EE4ECE" w:rsidRPr="00EE4ECE" w:rsidRDefault="00EE4ECE" w:rsidP="007D08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adoção da cogeração no setor sucroalcooleiro traz benefícios econômicos, ambientais e sociais:</w:t>
      </w:r>
    </w:p>
    <w:p w14:paraId="617591D4" w14:textId="71D0D0BA" w:rsidR="00EE4ECE" w:rsidRPr="00EE4ECE" w:rsidRDefault="00EE4ECE" w:rsidP="007D084E">
      <w:pPr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Econômicos: A geração de eletricidade própria reduz os custos operacionais das usinas, tornando-as menos dependentes do mercado de energia e mais resilientes a variações tarifárias. A comercialização do excedente energético também representa uma fonte adicional de receita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</w:t>
      </w:r>
    </w:p>
    <w:p w14:paraId="76685E23" w14:textId="017773B6" w:rsidR="00EE4ECE" w:rsidRPr="00EE4ECE" w:rsidRDefault="00EE4ECE" w:rsidP="007D084E">
      <w:pPr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Ambientais: A utilização do bagaço de cana como combustível evita o descarte desse resíduo e reduz significativamente as emissões de </w:t>
      </w:r>
      <w:r w:rsidR="002536A5">
        <w:rPr>
          <w:rFonts w:ascii="Times New Roman" w:hAnsi="Times New Roman" w:cs="Times New Roman"/>
          <w:sz w:val="24"/>
          <w:szCs w:val="24"/>
        </w:rPr>
        <w:t>CO</w:t>
      </w:r>
      <w:r w:rsidRPr="00EE4ECE">
        <w:rPr>
          <w:rFonts w:ascii="Times New Roman" w:hAnsi="Times New Roman" w:cs="Times New Roman"/>
          <w:sz w:val="24"/>
          <w:szCs w:val="24"/>
        </w:rPr>
        <w:t>₂ quando comparado aos combustíveis fósseis (</w:t>
      </w:r>
      <w:r w:rsidR="00FB18BB">
        <w:rPr>
          <w:rFonts w:ascii="Times New Roman" w:hAnsi="Times New Roman" w:cs="Times New Roman"/>
          <w:sz w:val="24"/>
          <w:szCs w:val="24"/>
        </w:rPr>
        <w:t>MAIA</w:t>
      </w:r>
      <w:r w:rsidRPr="00EE4ECE">
        <w:rPr>
          <w:rFonts w:ascii="Times New Roman" w:hAnsi="Times New Roman" w:cs="Times New Roman"/>
          <w:sz w:val="24"/>
          <w:szCs w:val="24"/>
        </w:rPr>
        <w:t>, 2022).</w:t>
      </w:r>
    </w:p>
    <w:p w14:paraId="1CF059AE" w14:textId="67DC33C2" w:rsidR="00EE4ECE" w:rsidRDefault="00EE4ECE" w:rsidP="007D084E">
      <w:pPr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Sociais: A expansão da cogeração contribui para a geração de empregos qualificados e o desenvolvimento regional, estimulando a infraestrutura e os serviços locais, promovendo um crescimento sustentável das comunidades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2019).</w:t>
      </w:r>
    </w:p>
    <w:p w14:paraId="021328B8" w14:textId="77777777" w:rsidR="00C32C93" w:rsidRPr="00EE4ECE" w:rsidRDefault="00C32C93" w:rsidP="00AF69A4">
      <w:pPr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</w:p>
    <w:p w14:paraId="4BAD3084" w14:textId="77777777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>3. Metodologia</w:t>
      </w:r>
    </w:p>
    <w:p w14:paraId="4E2B1CA8" w14:textId="1CD1F1FC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Este </w:t>
      </w:r>
      <w:r w:rsidR="003A21AB">
        <w:rPr>
          <w:rFonts w:ascii="Times New Roman" w:hAnsi="Times New Roman" w:cs="Times New Roman"/>
          <w:sz w:val="24"/>
          <w:szCs w:val="24"/>
        </w:rPr>
        <w:t xml:space="preserve">trabalho apresenta um </w:t>
      </w:r>
      <w:r w:rsidRPr="00EE4ECE">
        <w:rPr>
          <w:rFonts w:ascii="Times New Roman" w:hAnsi="Times New Roman" w:cs="Times New Roman"/>
          <w:sz w:val="24"/>
          <w:szCs w:val="24"/>
        </w:rPr>
        <w:t xml:space="preserve">estudo </w:t>
      </w:r>
      <w:r w:rsidR="0040248F">
        <w:rPr>
          <w:rFonts w:ascii="Times New Roman" w:hAnsi="Times New Roman" w:cs="Times New Roman"/>
          <w:sz w:val="24"/>
          <w:szCs w:val="24"/>
        </w:rPr>
        <w:t>de</w:t>
      </w:r>
      <w:r w:rsidRPr="00EE4ECE">
        <w:rPr>
          <w:rFonts w:ascii="Times New Roman" w:hAnsi="Times New Roman" w:cs="Times New Roman"/>
          <w:sz w:val="24"/>
          <w:szCs w:val="24"/>
        </w:rPr>
        <w:t xml:space="preserve"> caso na Usina São João</w:t>
      </w:r>
      <w:r w:rsidR="003A21AB">
        <w:rPr>
          <w:rFonts w:ascii="Times New Roman" w:hAnsi="Times New Roman" w:cs="Times New Roman"/>
          <w:sz w:val="24"/>
          <w:szCs w:val="24"/>
        </w:rPr>
        <w:t>, cuja autorização encontra-se no Anexo I</w:t>
      </w:r>
      <w:r w:rsidRPr="00EE4ECE">
        <w:rPr>
          <w:rFonts w:ascii="Times New Roman" w:hAnsi="Times New Roman" w:cs="Times New Roman"/>
          <w:sz w:val="24"/>
          <w:szCs w:val="24"/>
        </w:rPr>
        <w:t>. A pesquisa baseou-se em revisão bibliográfica de artigos, manuais técnicos, relatórios da ANEEL e EPE, além de dados operacionais fornecidos pela usina. O estudo contempla a análise do processo de cogeração antes e após a modernização, com ênfase nos aspectos técnicos, regulatórios e operacionais.</w:t>
      </w:r>
    </w:p>
    <w:p w14:paraId="66F737AA" w14:textId="77777777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A coleta de dados para o estudo de caso incluiu informações fornecidas pela própria usina, referentes ao seu perfil operacional, investimentos realizados, capacidades de geração e contratos de energia.</w:t>
      </w:r>
    </w:p>
    <w:p w14:paraId="351F5E68" w14:textId="01CBE818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Este estudo caracteriza-se como uma pesquisa qualitativa e descritiva. A natureza descritiva do estudo de caso, por sua vez, possibilita a caracterização detalhada das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 xml:space="preserve">operações da </w:t>
      </w:r>
      <w:r w:rsidR="00F56D69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 xml:space="preserve">sina São João e das normas que regem a importação e exportação de energia, desafios que vieram após o investimento para modernização da UTE. Antes da atualização da planta industrial a usina trabalhava isolada em ilha, não havia um paralelismo com a </w:t>
      </w:r>
      <w:r w:rsidR="00204CE5">
        <w:rPr>
          <w:rFonts w:ascii="Times New Roman" w:hAnsi="Times New Roman" w:cs="Times New Roman"/>
          <w:sz w:val="24"/>
          <w:szCs w:val="24"/>
        </w:rPr>
        <w:t xml:space="preserve">rede da </w:t>
      </w:r>
      <w:r w:rsidRPr="00EE4ECE">
        <w:rPr>
          <w:rFonts w:ascii="Times New Roman" w:hAnsi="Times New Roman" w:cs="Times New Roman"/>
          <w:sz w:val="24"/>
          <w:szCs w:val="24"/>
        </w:rPr>
        <w:t xml:space="preserve">concessionária, o consumo da planta era suprido através dos quatro geradores existentes, com potência de 3,75 MVA cada um, </w:t>
      </w:r>
      <w:r w:rsidR="00204CE5">
        <w:rPr>
          <w:rFonts w:ascii="Times New Roman" w:hAnsi="Times New Roman" w:cs="Times New Roman"/>
          <w:sz w:val="24"/>
          <w:szCs w:val="24"/>
        </w:rPr>
        <w:t xml:space="preserve">o </w:t>
      </w:r>
      <w:r w:rsidRPr="00EE4ECE">
        <w:rPr>
          <w:rFonts w:ascii="Times New Roman" w:hAnsi="Times New Roman" w:cs="Times New Roman"/>
          <w:sz w:val="24"/>
          <w:szCs w:val="24"/>
        </w:rPr>
        <w:t xml:space="preserve">consumo interno anteriormente era de 10 MW, existiam nos cubículos de interligação dois barramentos distintos, um do grupo gerador e o outro da concessionária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EE4ECE">
        <w:rPr>
          <w:rFonts w:ascii="Times New Roman" w:hAnsi="Times New Roman" w:cs="Times New Roman"/>
          <w:sz w:val="24"/>
          <w:szCs w:val="24"/>
        </w:rPr>
        <w:t xml:space="preserve">, estes só erão manobrados em caso de partida inicial ou desarme da planta, todas as manobras eram feitas manualmente. </w:t>
      </w:r>
    </w:p>
    <w:p w14:paraId="0F7599F8" w14:textId="77777777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abordagem qualitativa permite a análise aprofundada de fenômenos complexos, como os processos de cogeração e as implicações regulatórias no setor sucroalcooleiro. </w:t>
      </w:r>
    </w:p>
    <w:p w14:paraId="2DA07EEF" w14:textId="64C54339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pesquisa foi embasada em uma revisão bibliográfica abrangente, consultando livros técnicos, artigos científicos e relatórios de órgãos reguladores, como a ANEEL e a </w:t>
      </w:r>
      <w:r w:rsidR="00F56D69">
        <w:rPr>
          <w:rFonts w:ascii="Times New Roman" w:hAnsi="Times New Roman" w:cs="Times New Roman"/>
          <w:sz w:val="24"/>
          <w:szCs w:val="24"/>
        </w:rPr>
        <w:t>e</w:t>
      </w:r>
      <w:r w:rsidRPr="00EE4ECE">
        <w:rPr>
          <w:rFonts w:ascii="Times New Roman" w:hAnsi="Times New Roman" w:cs="Times New Roman"/>
          <w:sz w:val="24"/>
          <w:szCs w:val="24"/>
        </w:rPr>
        <w:t xml:space="preserve">mpresa de </w:t>
      </w:r>
      <w:r w:rsidR="00F56D69">
        <w:rPr>
          <w:rFonts w:ascii="Times New Roman" w:hAnsi="Times New Roman" w:cs="Times New Roman"/>
          <w:sz w:val="24"/>
          <w:szCs w:val="24"/>
        </w:rPr>
        <w:t>p</w:t>
      </w:r>
      <w:r w:rsidRPr="00EE4ECE">
        <w:rPr>
          <w:rFonts w:ascii="Times New Roman" w:hAnsi="Times New Roman" w:cs="Times New Roman"/>
          <w:sz w:val="24"/>
          <w:szCs w:val="24"/>
        </w:rPr>
        <w:t xml:space="preserve">esquisa </w:t>
      </w:r>
      <w:r w:rsidR="00F56D69">
        <w:rPr>
          <w:rFonts w:ascii="Times New Roman" w:hAnsi="Times New Roman" w:cs="Times New Roman"/>
          <w:sz w:val="24"/>
          <w:szCs w:val="24"/>
        </w:rPr>
        <w:t>e</w:t>
      </w:r>
      <w:r w:rsidRPr="00EE4ECE">
        <w:rPr>
          <w:rFonts w:ascii="Times New Roman" w:hAnsi="Times New Roman" w:cs="Times New Roman"/>
          <w:sz w:val="24"/>
          <w:szCs w:val="24"/>
        </w:rPr>
        <w:t xml:space="preserve">nergética (EPE). Adicionalmente, para aprofundar a análise e trazer dados práticos, foi realizado </w:t>
      </w:r>
      <w:r w:rsidR="00204CE5">
        <w:rPr>
          <w:rFonts w:ascii="Times New Roman" w:hAnsi="Times New Roman" w:cs="Times New Roman"/>
          <w:sz w:val="24"/>
          <w:szCs w:val="24"/>
        </w:rPr>
        <w:t xml:space="preserve">este </w:t>
      </w:r>
      <w:r w:rsidRPr="00EE4ECE">
        <w:rPr>
          <w:rFonts w:ascii="Times New Roman" w:hAnsi="Times New Roman" w:cs="Times New Roman"/>
          <w:sz w:val="24"/>
          <w:szCs w:val="24"/>
        </w:rPr>
        <w:t xml:space="preserve">estudo de caso na </w:t>
      </w:r>
      <w:r w:rsidR="00F56D69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>sina São João de Araras</w:t>
      </w:r>
      <w:r w:rsidR="00204CE5">
        <w:rPr>
          <w:rFonts w:ascii="Times New Roman" w:hAnsi="Times New Roman" w:cs="Times New Roman"/>
          <w:sz w:val="24"/>
          <w:szCs w:val="24"/>
        </w:rPr>
        <w:t>.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204CE5">
        <w:rPr>
          <w:rFonts w:ascii="Times New Roman" w:hAnsi="Times New Roman" w:cs="Times New Roman"/>
          <w:sz w:val="24"/>
          <w:szCs w:val="24"/>
        </w:rPr>
        <w:t>P</w:t>
      </w:r>
      <w:r w:rsidRPr="00EE4ECE">
        <w:rPr>
          <w:rFonts w:ascii="Times New Roman" w:hAnsi="Times New Roman" w:cs="Times New Roman"/>
          <w:sz w:val="24"/>
          <w:szCs w:val="24"/>
        </w:rPr>
        <w:t>ara um sistema de cogeração eficaz, depende de equipamentos tecnológicos e de um controle preciso para garantir a geração de energia e a sincronização segura com a rede elétrica.</w:t>
      </w:r>
    </w:p>
    <w:p w14:paraId="6D38D281" w14:textId="77777777" w:rsidR="00ED183E" w:rsidRPr="00EE4ECE" w:rsidRDefault="00ED183E" w:rsidP="00E95C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48B78" w14:textId="16C5696C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4. Equipamentos 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ontrole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ssenciais para 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ogeração</w:t>
      </w:r>
    </w:p>
    <w:p w14:paraId="7A5739E8" w14:textId="7CDCA5E0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Um sistema de cogeração eficiente depende de equipamentos modernos e de um controle preciso para garantir a geração de energia e a sincronização segura com a rede elétrica da concessionária. As </w:t>
      </w:r>
      <w:r w:rsidR="00F56D69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aldeiras aquatubulares de alta pressão transformam a energia química do bagaço da cana em vapor superaquecido. Na </w:t>
      </w:r>
      <w:r w:rsidR="00F56D69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>sina São João, a caldeira nova opera a 44 Kgf/cm², projetada para alta eficiência e durabilidade. O controle da alimentação do bagaço</w:t>
      </w:r>
      <w:r w:rsidR="00204CE5">
        <w:rPr>
          <w:rFonts w:ascii="Times New Roman" w:hAnsi="Times New Roman" w:cs="Times New Roman"/>
          <w:sz w:val="24"/>
          <w:szCs w:val="24"/>
        </w:rPr>
        <w:t xml:space="preserve"> é feito</w:t>
      </w:r>
      <w:r w:rsidRPr="00EE4ECE">
        <w:rPr>
          <w:rFonts w:ascii="Times New Roman" w:hAnsi="Times New Roman" w:cs="Times New Roman"/>
          <w:sz w:val="24"/>
          <w:szCs w:val="24"/>
        </w:rPr>
        <w:t xml:space="preserve"> por esteiras</w:t>
      </w:r>
      <w:r w:rsidR="00204CE5">
        <w:rPr>
          <w:rFonts w:ascii="Times New Roman" w:hAnsi="Times New Roman" w:cs="Times New Roman"/>
          <w:sz w:val="24"/>
          <w:szCs w:val="24"/>
        </w:rPr>
        <w:t xml:space="preserve"> transportadoras, elas podem ser de borracha e ou taliscas metálicas,</w:t>
      </w:r>
      <w:r w:rsidRPr="00EE4ECE">
        <w:rPr>
          <w:rFonts w:ascii="Times New Roman" w:hAnsi="Times New Roman" w:cs="Times New Roman"/>
          <w:sz w:val="24"/>
          <w:szCs w:val="24"/>
        </w:rPr>
        <w:t xml:space="preserve"> dosador</w:t>
      </w:r>
      <w:r w:rsidR="00204CE5">
        <w:rPr>
          <w:rFonts w:ascii="Times New Roman" w:hAnsi="Times New Roman" w:cs="Times New Roman"/>
          <w:sz w:val="24"/>
          <w:szCs w:val="24"/>
        </w:rPr>
        <w:t>e</w:t>
      </w:r>
      <w:r w:rsidRPr="00EE4ECE">
        <w:rPr>
          <w:rFonts w:ascii="Times New Roman" w:hAnsi="Times New Roman" w:cs="Times New Roman"/>
          <w:sz w:val="24"/>
          <w:szCs w:val="24"/>
        </w:rPr>
        <w:t>s e analisadores de umidade assegura</w:t>
      </w:r>
      <w:r w:rsidR="00204CE5">
        <w:rPr>
          <w:rFonts w:ascii="Times New Roman" w:hAnsi="Times New Roman" w:cs="Times New Roman"/>
          <w:sz w:val="24"/>
          <w:szCs w:val="24"/>
        </w:rPr>
        <w:t>m</w:t>
      </w:r>
      <w:r w:rsidRPr="00EE4ECE">
        <w:rPr>
          <w:rFonts w:ascii="Times New Roman" w:hAnsi="Times New Roman" w:cs="Times New Roman"/>
          <w:sz w:val="24"/>
          <w:szCs w:val="24"/>
        </w:rPr>
        <w:t xml:space="preserve"> uma queima contínua e eficaz.</w:t>
      </w:r>
    </w:p>
    <w:p w14:paraId="7F557145" w14:textId="7E6B8E31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</w:t>
      </w:r>
      <w:r w:rsidR="00F56D69">
        <w:rPr>
          <w:rFonts w:ascii="Times New Roman" w:hAnsi="Times New Roman" w:cs="Times New Roman"/>
          <w:sz w:val="24"/>
          <w:szCs w:val="24"/>
        </w:rPr>
        <w:t>t</w:t>
      </w:r>
      <w:r w:rsidRPr="00EE4ECE">
        <w:rPr>
          <w:rFonts w:ascii="Times New Roman" w:hAnsi="Times New Roman" w:cs="Times New Roman"/>
          <w:sz w:val="24"/>
          <w:szCs w:val="24"/>
        </w:rPr>
        <w:t>urbina a vapor, como o modelo TM 35000A da TGM, recebe esse vapor e o transforma em energia mecânica, fazendo suas palhetas girarem e acionando o eixo conectado ao gerador. Sistemas de controle de vazão e válvulas de segurança regulam sua velocidade e pressão para uma operação dentro dos limites de projeto (TGM, 2023).</w:t>
      </w:r>
    </w:p>
    <w:p w14:paraId="7211C8F2" w14:textId="6444582E" w:rsidR="00DF11CF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O gerador elétrico, como o modelo </w:t>
      </w:r>
      <w:r w:rsidR="00204CE5">
        <w:rPr>
          <w:rFonts w:ascii="Times New Roman" w:hAnsi="Times New Roman" w:cs="Times New Roman"/>
          <w:sz w:val="24"/>
          <w:szCs w:val="24"/>
        </w:rPr>
        <w:t>ST40</w:t>
      </w:r>
      <w:r w:rsidRPr="00EE4ECE">
        <w:rPr>
          <w:rFonts w:ascii="Times New Roman" w:hAnsi="Times New Roman" w:cs="Times New Roman"/>
          <w:sz w:val="24"/>
          <w:szCs w:val="24"/>
        </w:rPr>
        <w:t xml:space="preserve"> da WEG, converte a energia mecânica da turbina em eletricidade. Ele opera em regime síncrono, mantendo a frequência em 60 Hz – um detalhe crucial para a estabilidade da rede. A capacidade máxima do gerador é de 28,75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MW, com fator de potência de 0,92.</w:t>
      </w:r>
      <w:r w:rsidR="00BA1096">
        <w:rPr>
          <w:rFonts w:ascii="Times New Roman" w:hAnsi="Times New Roman" w:cs="Times New Roman"/>
          <w:sz w:val="24"/>
          <w:szCs w:val="24"/>
        </w:rPr>
        <w:t xml:space="preserve"> </w:t>
      </w:r>
      <w:r w:rsidR="00BE5114">
        <w:rPr>
          <w:rFonts w:ascii="Times New Roman" w:hAnsi="Times New Roman" w:cs="Times New Roman"/>
          <w:sz w:val="24"/>
          <w:szCs w:val="24"/>
        </w:rPr>
        <w:t xml:space="preserve">A </w:t>
      </w:r>
      <w:r w:rsidR="00DF11CF">
        <w:rPr>
          <w:rFonts w:ascii="Times New Roman" w:hAnsi="Times New Roman" w:cs="Times New Roman"/>
          <w:sz w:val="24"/>
          <w:szCs w:val="24"/>
        </w:rPr>
        <w:t xml:space="preserve">Figura 6 </w:t>
      </w:r>
      <w:r w:rsidR="00BE5114">
        <w:rPr>
          <w:rFonts w:ascii="Times New Roman" w:hAnsi="Times New Roman" w:cs="Times New Roman"/>
          <w:sz w:val="24"/>
          <w:szCs w:val="24"/>
        </w:rPr>
        <w:t xml:space="preserve">apresenta </w:t>
      </w:r>
      <w:r w:rsidR="00DF11CF">
        <w:rPr>
          <w:rFonts w:ascii="Times New Roman" w:hAnsi="Times New Roman" w:cs="Times New Roman"/>
          <w:sz w:val="24"/>
          <w:szCs w:val="24"/>
        </w:rPr>
        <w:t xml:space="preserve">o conjunto turbogerador instalado na usina São João.  </w:t>
      </w:r>
    </w:p>
    <w:p w14:paraId="564BA7BA" w14:textId="77777777" w:rsidR="007E390C" w:rsidRDefault="007E390C" w:rsidP="008B0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4240462" w14:textId="7341FB1A" w:rsidR="006E7DDA" w:rsidRPr="002536A5" w:rsidRDefault="006E7DDA" w:rsidP="008B0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Figura </w:t>
      </w:r>
      <w:r w:rsidR="00801CAF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- Conjunto </w:t>
      </w:r>
      <w:r w:rsidR="002536A5"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>urbogerador WEG/TGM</w:t>
      </w:r>
      <w:r w:rsidR="00626452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Pr="002536A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USJ – Araras -SP</w:t>
      </w:r>
    </w:p>
    <w:p w14:paraId="74C8C996" w14:textId="77777777" w:rsidR="006E7DDA" w:rsidRDefault="006E7DDA" w:rsidP="006E7D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737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B8BB69" wp14:editId="259B099E">
            <wp:extent cx="5308600" cy="3577731"/>
            <wp:effectExtent l="0" t="0" r="6350" b="3810"/>
            <wp:docPr id="1425708125" name="Imagem 1" descr="Trem de metrô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8125" name="Imagem 1" descr="Trem de metrô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901" cy="360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1F71" w14:textId="6CE6DF3C" w:rsidR="00ED183E" w:rsidRDefault="006E7DDA" w:rsidP="007D084E">
      <w:pPr>
        <w:pStyle w:val="Legenda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2536A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Fonte: O </w:t>
      </w:r>
      <w:r w:rsidR="002536A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a</w:t>
      </w:r>
      <w:r w:rsidRPr="002536A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utor</w:t>
      </w:r>
      <w:r w:rsidR="007E39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504CA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(</w:t>
      </w:r>
      <w:r w:rsidR="007E390C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2024</w:t>
      </w:r>
      <w:r w:rsidR="00504CA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)</w:t>
      </w:r>
    </w:p>
    <w:p w14:paraId="700C2278" w14:textId="77777777" w:rsidR="007D084E" w:rsidRPr="007D084E" w:rsidRDefault="007D084E" w:rsidP="001A515D">
      <w:pPr>
        <w:spacing w:after="0" w:line="360" w:lineRule="auto"/>
      </w:pPr>
    </w:p>
    <w:p w14:paraId="4823AF9F" w14:textId="618A5B42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Para que todo esse sistema funcione em harmonia e segurança, o controle e supervisão são vitais. O </w:t>
      </w:r>
      <w:r w:rsidR="002A426C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>upervisório Siemens SIMATIC, atua como o cérebro, coletando dados de sensores para que os operadores monitorem e ajustem parâmetros essenciais, como temperaturas e pressões, e até acionem equipamentos remotamente (SIEMENS, 2023).</w:t>
      </w:r>
    </w:p>
    <w:p w14:paraId="1C1548C5" w14:textId="5E590ED6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interligação com a concessionária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EE4ECE">
        <w:rPr>
          <w:rFonts w:ascii="Times New Roman" w:hAnsi="Times New Roman" w:cs="Times New Roman"/>
          <w:sz w:val="24"/>
          <w:szCs w:val="24"/>
        </w:rPr>
        <w:t xml:space="preserve"> exige um controle rigoroso. Os </w:t>
      </w:r>
      <w:r w:rsidR="002A426C">
        <w:rPr>
          <w:rFonts w:ascii="Times New Roman" w:hAnsi="Times New Roman" w:cs="Times New Roman"/>
          <w:sz w:val="24"/>
          <w:szCs w:val="24"/>
        </w:rPr>
        <w:t>r</w:t>
      </w:r>
      <w:r w:rsidRPr="00EE4ECE">
        <w:rPr>
          <w:rFonts w:ascii="Times New Roman" w:hAnsi="Times New Roman" w:cs="Times New Roman"/>
          <w:sz w:val="24"/>
          <w:szCs w:val="24"/>
        </w:rPr>
        <w:t>elés de proteção da Schweitzer Engineering Laboratories (SEL), instalados nos painéis da casa de força e subestação, monitoram o sistema em tempo real, detectando e isolando falhas rapidamente para proteger a instalação (SEL, 2023).</w:t>
      </w:r>
    </w:p>
    <w:p w14:paraId="5B7BF4DC" w14:textId="01E94CFD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O </w:t>
      </w:r>
      <w:r w:rsidR="00F56D69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 xml:space="preserve">incronismo e </w:t>
      </w:r>
      <w:r w:rsidR="00F56D69">
        <w:rPr>
          <w:rFonts w:ascii="Times New Roman" w:hAnsi="Times New Roman" w:cs="Times New Roman"/>
          <w:sz w:val="24"/>
          <w:szCs w:val="24"/>
        </w:rPr>
        <w:t>p</w:t>
      </w:r>
      <w:r w:rsidRPr="00EE4ECE">
        <w:rPr>
          <w:rFonts w:ascii="Times New Roman" w:hAnsi="Times New Roman" w:cs="Times New Roman"/>
          <w:sz w:val="24"/>
          <w:szCs w:val="24"/>
        </w:rPr>
        <w:t>aralelismo são processos essenciais para integrar a energia gerada à rede elétrica nacional. Controladores como o MSLC e DSLC da WOODWARD, garantem que o gerador opere em perfeita sincronia com a rede (ajustando tensão, frequência e ângulo de fase) antes da conexão, e gerenciam a carga automaticamente (WOODWARD, 2023).</w:t>
      </w:r>
      <w:r w:rsidR="00BE5114">
        <w:rPr>
          <w:rFonts w:ascii="Times New Roman" w:hAnsi="Times New Roman" w:cs="Times New Roman"/>
          <w:sz w:val="24"/>
          <w:szCs w:val="24"/>
        </w:rPr>
        <w:t xml:space="preserve"> </w:t>
      </w:r>
      <w:r w:rsidRPr="00EE4ECE">
        <w:rPr>
          <w:rFonts w:ascii="Times New Roman" w:hAnsi="Times New Roman" w:cs="Times New Roman"/>
          <w:sz w:val="24"/>
          <w:szCs w:val="24"/>
        </w:rPr>
        <w:t xml:space="preserve">O sistema de </w:t>
      </w:r>
      <w:r w:rsidR="00F56D69">
        <w:rPr>
          <w:rFonts w:ascii="Times New Roman" w:hAnsi="Times New Roman" w:cs="Times New Roman"/>
          <w:sz w:val="24"/>
          <w:szCs w:val="24"/>
        </w:rPr>
        <w:t>e</w:t>
      </w:r>
      <w:r w:rsidRPr="00EE4ECE">
        <w:rPr>
          <w:rFonts w:ascii="Times New Roman" w:hAnsi="Times New Roman" w:cs="Times New Roman"/>
          <w:sz w:val="24"/>
          <w:szCs w:val="24"/>
        </w:rPr>
        <w:t xml:space="preserve">xcitação UNITROL da ABB complementa esse controle, ajustando a corrente no rotor do gerador para manter a tensão estável e garantir a qualidade da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energia (ABB, 2023).</w:t>
      </w:r>
      <w:r w:rsidR="00BE5114">
        <w:rPr>
          <w:rFonts w:ascii="Times New Roman" w:hAnsi="Times New Roman" w:cs="Times New Roman"/>
          <w:sz w:val="24"/>
          <w:szCs w:val="24"/>
        </w:rPr>
        <w:t xml:space="preserve"> </w:t>
      </w:r>
      <w:r w:rsidRPr="00EE4ECE">
        <w:rPr>
          <w:rFonts w:ascii="Times New Roman" w:hAnsi="Times New Roman" w:cs="Times New Roman"/>
          <w:sz w:val="24"/>
          <w:szCs w:val="24"/>
        </w:rPr>
        <w:t xml:space="preserve">Por fim, </w:t>
      </w:r>
      <w:r w:rsidR="00BE5114">
        <w:rPr>
          <w:rFonts w:ascii="Times New Roman" w:hAnsi="Times New Roman" w:cs="Times New Roman"/>
          <w:sz w:val="24"/>
          <w:szCs w:val="24"/>
        </w:rPr>
        <w:t>um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F56D69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>incronoscópio</w:t>
      </w:r>
      <w:r w:rsidR="00BE5114">
        <w:rPr>
          <w:rFonts w:ascii="Times New Roman" w:hAnsi="Times New Roman" w:cs="Times New Roman"/>
          <w:sz w:val="24"/>
          <w:szCs w:val="24"/>
        </w:rPr>
        <w:t xml:space="preserve"> da fabricante </w:t>
      </w:r>
      <w:r w:rsidRPr="00EE4ECE">
        <w:rPr>
          <w:rFonts w:ascii="Times New Roman" w:hAnsi="Times New Roman" w:cs="Times New Roman"/>
          <w:sz w:val="24"/>
          <w:szCs w:val="24"/>
        </w:rPr>
        <w:t>WEG permite ao operador verificar visualmente o momento exato de conectar o gerador à rede.</w:t>
      </w:r>
    </w:p>
    <w:p w14:paraId="3D6D7563" w14:textId="5EFD640B" w:rsid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energia gerada é então enviada à </w:t>
      </w:r>
      <w:r w:rsidR="002A426C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 xml:space="preserve">ubestação da </w:t>
      </w:r>
      <w:r w:rsidR="002A426C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>sina, onde é elevada para alta tensão por transformadores para facilitar o transporte. Painéis de medição e proteção com relés SEL garantem a qualidade e a segurança da energia exportada, monitorando potência reativa e ativa e assegurando que o sincronismo e o paralelismo estejam perfeitos (ANEEL, 2022). Esse controle preciso, monitorado por sistemas de automação, garante que a produção da usina seja eficiente, estável e em conformidade com as exigências da ANEEL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2019).</w:t>
      </w:r>
    </w:p>
    <w:p w14:paraId="76F0F798" w14:textId="77777777" w:rsidR="00A80329" w:rsidRPr="00EE4ECE" w:rsidRDefault="00A80329" w:rsidP="009C0B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3D2C29" w14:textId="03B0902B" w:rsidR="00EE4ECE" w:rsidRPr="00EE4EC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4.1. Sincronismo com 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ede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oncessionária,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aralelismo 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xportação de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nergia</w:t>
      </w:r>
    </w:p>
    <w:p w14:paraId="2CE4C6A3" w14:textId="5A1E09E5" w:rsidR="00ED183E" w:rsidRDefault="00EE4ECE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>O sincronismo e o paralelismo são processos essenciais para garantir a integração da energia gerada nas usinas ao sistema elétrico nacional. O sincronismo envolve o ajuste de tensão, frequência e fase dos geradores internos da usina para que sejam compatíveis com a rede elétrica, evitando oscilações que possam afetar a estabilidade do sistema (</w:t>
      </w:r>
      <w:r w:rsidR="00FB18BB">
        <w:rPr>
          <w:rFonts w:ascii="Times New Roman" w:hAnsi="Times New Roman" w:cs="Times New Roman"/>
          <w:sz w:val="24"/>
          <w:szCs w:val="24"/>
        </w:rPr>
        <w:t>TEIXEIRA</w:t>
      </w:r>
      <w:r w:rsidRPr="00EE4ECE">
        <w:rPr>
          <w:rFonts w:ascii="Times New Roman" w:hAnsi="Times New Roman" w:cs="Times New Roman"/>
          <w:sz w:val="24"/>
          <w:szCs w:val="24"/>
        </w:rPr>
        <w:t xml:space="preserve"> </w:t>
      </w:r>
      <w:r w:rsidR="00A91352" w:rsidRPr="00A91352">
        <w:rPr>
          <w:rFonts w:ascii="Times New Roman" w:hAnsi="Times New Roman" w:cs="Times New Roman"/>
          <w:i/>
          <w:sz w:val="24"/>
          <w:szCs w:val="24"/>
        </w:rPr>
        <w:t>et al</w:t>
      </w:r>
      <w:r w:rsidRPr="00EE4ECE">
        <w:rPr>
          <w:rFonts w:ascii="Times New Roman" w:hAnsi="Times New Roman" w:cs="Times New Roman"/>
          <w:sz w:val="24"/>
          <w:szCs w:val="24"/>
        </w:rPr>
        <w:t>., 2019)</w:t>
      </w:r>
      <w:r w:rsidR="00DF11CF">
        <w:rPr>
          <w:rFonts w:ascii="Times New Roman" w:hAnsi="Times New Roman" w:cs="Times New Roman"/>
          <w:sz w:val="24"/>
          <w:szCs w:val="24"/>
        </w:rPr>
        <w:t>, na Figura 7 é demonstrado o diagrama de sincronismo da rede com a unidade geradora</w:t>
      </w:r>
      <w:r w:rsidRPr="00EE4ECE">
        <w:rPr>
          <w:rFonts w:ascii="Times New Roman" w:hAnsi="Times New Roman" w:cs="Times New Roman"/>
          <w:sz w:val="24"/>
          <w:szCs w:val="24"/>
        </w:rPr>
        <w:t>. O paralelismo permite a operação simultânea de vários geradores, otimizando a distribuição da carga e evitando sobrecargas. A exportação de excedente energético, possibilitada pela cogeração, contribui para a diversificação da matriz energética nacional e a redução da dependência de fontes fósseis (</w:t>
      </w:r>
      <w:r w:rsidR="00FB18BB">
        <w:rPr>
          <w:rFonts w:ascii="Times New Roman" w:hAnsi="Times New Roman" w:cs="Times New Roman"/>
          <w:sz w:val="24"/>
          <w:szCs w:val="24"/>
        </w:rPr>
        <w:t>MORAES</w:t>
      </w:r>
      <w:r w:rsidRPr="00EE4ECE">
        <w:rPr>
          <w:rFonts w:ascii="Times New Roman" w:hAnsi="Times New Roman" w:cs="Times New Roman"/>
          <w:sz w:val="24"/>
          <w:szCs w:val="24"/>
        </w:rPr>
        <w:t>, 2015).</w:t>
      </w:r>
    </w:p>
    <w:p w14:paraId="725B8BCB" w14:textId="77777777" w:rsidR="000506E1" w:rsidRDefault="000506E1" w:rsidP="00F56D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C4BEE" w14:textId="55C7EDF3" w:rsidR="005F723D" w:rsidRPr="002536A5" w:rsidRDefault="005F723D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hAnsi="Times New Roman" w:cs="Times New Roman"/>
          <w:sz w:val="20"/>
          <w:szCs w:val="20"/>
        </w:rPr>
        <w:t xml:space="preserve"> Figura </w:t>
      </w:r>
      <w:r w:rsidR="00801CAF">
        <w:rPr>
          <w:rFonts w:ascii="Times New Roman" w:hAnsi="Times New Roman" w:cs="Times New Roman"/>
          <w:sz w:val="20"/>
          <w:szCs w:val="20"/>
        </w:rPr>
        <w:t>7</w:t>
      </w:r>
      <w:r w:rsidRPr="002536A5">
        <w:rPr>
          <w:rFonts w:ascii="Times New Roman" w:hAnsi="Times New Roman" w:cs="Times New Roman"/>
          <w:sz w:val="20"/>
          <w:szCs w:val="20"/>
        </w:rPr>
        <w:t xml:space="preserve"> - Diagrama de </w:t>
      </w:r>
      <w:r w:rsidR="002536A5">
        <w:rPr>
          <w:rFonts w:ascii="Times New Roman" w:hAnsi="Times New Roman" w:cs="Times New Roman"/>
          <w:sz w:val="20"/>
          <w:szCs w:val="20"/>
        </w:rPr>
        <w:t>s</w:t>
      </w:r>
      <w:r w:rsidRPr="002536A5">
        <w:rPr>
          <w:rFonts w:ascii="Times New Roman" w:hAnsi="Times New Roman" w:cs="Times New Roman"/>
          <w:sz w:val="20"/>
          <w:szCs w:val="20"/>
        </w:rPr>
        <w:t xml:space="preserve">incronismo da </w:t>
      </w:r>
      <w:r w:rsidR="002536A5">
        <w:rPr>
          <w:rFonts w:ascii="Times New Roman" w:hAnsi="Times New Roman" w:cs="Times New Roman"/>
          <w:sz w:val="20"/>
          <w:szCs w:val="20"/>
        </w:rPr>
        <w:t>r</w:t>
      </w:r>
      <w:r w:rsidRPr="002536A5">
        <w:rPr>
          <w:rFonts w:ascii="Times New Roman" w:hAnsi="Times New Roman" w:cs="Times New Roman"/>
          <w:sz w:val="20"/>
          <w:szCs w:val="20"/>
        </w:rPr>
        <w:t>ede</w:t>
      </w:r>
    </w:p>
    <w:p w14:paraId="472E31C2" w14:textId="34508821" w:rsidR="006E7DDA" w:rsidRDefault="005F723D" w:rsidP="002570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2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31A21" wp14:editId="4A88B670">
            <wp:extent cx="5402592" cy="1122680"/>
            <wp:effectExtent l="0" t="0" r="7620" b="1270"/>
            <wp:docPr id="54033229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32293" name="Imagem 1" descr="Gráfico&#10;&#10;O conteúdo gerado por IA pode estar incorreto."/>
                    <pic:cNvPicPr/>
                  </pic:nvPicPr>
                  <pic:blipFill rotWithShape="1">
                    <a:blip r:embed="rId12"/>
                    <a:srcRect t="20455" b="20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913" cy="113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98CB1" w14:textId="6DCD5083" w:rsidR="00ED183E" w:rsidRDefault="005F723D" w:rsidP="00ED183E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536A5">
        <w:rPr>
          <w:rFonts w:ascii="Times New Roman" w:hAnsi="Times New Roman" w:cs="Times New Roman"/>
          <w:sz w:val="20"/>
          <w:szCs w:val="20"/>
        </w:rPr>
        <w:t xml:space="preserve">Fonte: </w:t>
      </w:r>
      <w:r w:rsidR="007E390C" w:rsidRPr="007E390C">
        <w:rPr>
          <w:rFonts w:ascii="Times New Roman" w:hAnsi="Times New Roman" w:cs="Times New Roman"/>
          <w:sz w:val="20"/>
          <w:szCs w:val="20"/>
        </w:rPr>
        <w:t xml:space="preserve">ATLAS COPCO </w:t>
      </w:r>
      <w:r w:rsidR="00504CA7">
        <w:rPr>
          <w:rFonts w:ascii="Times New Roman" w:hAnsi="Times New Roman" w:cs="Times New Roman"/>
          <w:sz w:val="20"/>
          <w:szCs w:val="20"/>
        </w:rPr>
        <w:t>(</w:t>
      </w:r>
      <w:r w:rsidR="007E390C" w:rsidRPr="007E390C">
        <w:rPr>
          <w:rFonts w:ascii="Times New Roman" w:hAnsi="Times New Roman" w:cs="Times New Roman"/>
          <w:sz w:val="20"/>
          <w:szCs w:val="20"/>
        </w:rPr>
        <w:t>2022</w:t>
      </w:r>
      <w:r w:rsidR="00504CA7">
        <w:rPr>
          <w:rFonts w:ascii="Times New Roman" w:hAnsi="Times New Roman" w:cs="Times New Roman"/>
          <w:sz w:val="20"/>
          <w:szCs w:val="20"/>
        </w:rPr>
        <w:t>)</w:t>
      </w:r>
    </w:p>
    <w:p w14:paraId="73D6170C" w14:textId="77777777" w:rsidR="00A80329" w:rsidRPr="00A80329" w:rsidRDefault="00A80329" w:rsidP="001A515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FECFDB" w14:textId="77777777" w:rsidR="0099329B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O sincronismo com a rede da concessionária é crucial para garantir a estabilidade do fornecimento de energia elétrica, tanto para o consumo interno da usina quanto para a exportação para a rede. O controle preciso do sistema de geração, monitorado e ajustado por sistemas de automação, assegura que a produção de energia da usina seja eficiente e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estável, respeitando os parâmetros técnicos exigidos pela ANEEL e garantindo a continuidade do fornecimento (</w:t>
      </w:r>
      <w:r w:rsidR="00FB18BB">
        <w:rPr>
          <w:rFonts w:ascii="Times New Roman" w:hAnsi="Times New Roman" w:cs="Times New Roman"/>
          <w:sz w:val="24"/>
          <w:szCs w:val="24"/>
        </w:rPr>
        <w:t>FIORI</w:t>
      </w:r>
      <w:r w:rsidRPr="00EE4ECE">
        <w:rPr>
          <w:rFonts w:ascii="Times New Roman" w:hAnsi="Times New Roman" w:cs="Times New Roman"/>
          <w:sz w:val="24"/>
          <w:szCs w:val="24"/>
        </w:rPr>
        <w:t>, 2011).</w:t>
      </w:r>
    </w:p>
    <w:p w14:paraId="5CB2F8C2" w14:textId="77777777" w:rsidR="00736A04" w:rsidRDefault="00736A04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CEB30E" w14:textId="30B91F9E" w:rsid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5. Análise dos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esultados e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iscussão</w:t>
      </w:r>
    </w:p>
    <w:p w14:paraId="52021D87" w14:textId="752DE02B" w:rsidR="00BE5114" w:rsidRDefault="00BE5114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seções a seguir vão discutir os impactos da modernização na operação da Usina além de apresentar a análise de viabilidade desse projeto.</w:t>
      </w:r>
    </w:p>
    <w:p w14:paraId="650DB137" w14:textId="77777777" w:rsidR="009C0BAF" w:rsidRPr="00EE4ECE" w:rsidRDefault="009C0BAF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B7E000" w14:textId="0587CDBE" w:rsidR="00EE4ECE" w:rsidRP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5.1. Impacto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odernização na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peração da </w:t>
      </w:r>
      <w:r w:rsidR="002536A5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sina</w:t>
      </w:r>
    </w:p>
    <w:p w14:paraId="46193784" w14:textId="200AAF4C" w:rsidR="00EE4ECE" w:rsidRP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</w:t>
      </w:r>
      <w:r w:rsidR="002A426C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 xml:space="preserve">sina São João de Araras - SP, antes da ampliação em 2015, operava com quatro geradores de </w:t>
      </w:r>
      <w:bookmarkStart w:id="2" w:name="_Hlk209576275"/>
      <w:r w:rsidRPr="00EE4ECE">
        <w:rPr>
          <w:rFonts w:ascii="Times New Roman" w:hAnsi="Times New Roman" w:cs="Times New Roman"/>
          <w:sz w:val="24"/>
          <w:szCs w:val="24"/>
        </w:rPr>
        <w:t>3,75 MVA em ilha</w:t>
      </w:r>
      <w:bookmarkEnd w:id="2"/>
      <w:r w:rsidRPr="00EE4ECE">
        <w:rPr>
          <w:rFonts w:ascii="Times New Roman" w:hAnsi="Times New Roman" w:cs="Times New Roman"/>
          <w:sz w:val="24"/>
          <w:szCs w:val="24"/>
        </w:rPr>
        <w:t>, sem nenhuma interligação em paralelo com a rede da concessionária</w:t>
      </w:r>
      <w:r w:rsidR="008B2F4C">
        <w:rPr>
          <w:rFonts w:ascii="Times New Roman" w:hAnsi="Times New Roman" w:cs="Times New Roman"/>
          <w:sz w:val="24"/>
          <w:szCs w:val="24"/>
        </w:rPr>
        <w:t xml:space="preserve"> e </w:t>
      </w:r>
      <w:r w:rsidRPr="00EE4ECE">
        <w:rPr>
          <w:rFonts w:ascii="Times New Roman" w:hAnsi="Times New Roman" w:cs="Times New Roman"/>
          <w:sz w:val="24"/>
          <w:szCs w:val="24"/>
        </w:rPr>
        <w:t xml:space="preserve">sete caldeiras de 21 Kgf/cm², destinando a cogeração exclusivamente para o consumo interno de 10 MW, sem exportação de energia. A partir de 2015, a usina realizou um </w:t>
      </w:r>
      <w:r w:rsidR="002536A5">
        <w:rPr>
          <w:rFonts w:ascii="Times New Roman" w:hAnsi="Times New Roman" w:cs="Times New Roman"/>
          <w:sz w:val="24"/>
          <w:szCs w:val="24"/>
        </w:rPr>
        <w:t>p</w:t>
      </w:r>
      <w:r w:rsidRPr="00EE4ECE">
        <w:rPr>
          <w:rFonts w:ascii="Times New Roman" w:hAnsi="Times New Roman" w:cs="Times New Roman"/>
          <w:sz w:val="24"/>
          <w:szCs w:val="24"/>
        </w:rPr>
        <w:t xml:space="preserve">rojeto de </w:t>
      </w:r>
      <w:r w:rsidR="002536A5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 xml:space="preserve">sina </w:t>
      </w:r>
      <w:r w:rsidR="002536A5">
        <w:rPr>
          <w:rFonts w:ascii="Times New Roman" w:hAnsi="Times New Roman" w:cs="Times New Roman"/>
          <w:sz w:val="24"/>
          <w:szCs w:val="24"/>
        </w:rPr>
        <w:t>t</w:t>
      </w:r>
      <w:r w:rsidRPr="00EE4ECE">
        <w:rPr>
          <w:rFonts w:ascii="Times New Roman" w:hAnsi="Times New Roman" w:cs="Times New Roman"/>
          <w:sz w:val="24"/>
          <w:szCs w:val="24"/>
        </w:rPr>
        <w:t xml:space="preserve">ermoelétrica (UTE) de grande envergadura, que incluiu a implantação da </w:t>
      </w:r>
      <w:r w:rsidR="002536A5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aldeira nova e do </w:t>
      </w:r>
      <w:r w:rsidR="002536A5">
        <w:rPr>
          <w:rFonts w:ascii="Times New Roman" w:hAnsi="Times New Roman" w:cs="Times New Roman"/>
          <w:sz w:val="24"/>
          <w:szCs w:val="24"/>
        </w:rPr>
        <w:t>g</w:t>
      </w:r>
      <w:r w:rsidRPr="00EE4ECE">
        <w:rPr>
          <w:rFonts w:ascii="Times New Roman" w:hAnsi="Times New Roman" w:cs="Times New Roman"/>
          <w:sz w:val="24"/>
          <w:szCs w:val="24"/>
        </w:rPr>
        <w:t xml:space="preserve">erador novo. O investimento total desse projeto alcançou </w:t>
      </w:r>
      <w:r w:rsidRPr="008B096D">
        <w:rPr>
          <w:rFonts w:ascii="Times New Roman" w:hAnsi="Times New Roman" w:cs="Times New Roman"/>
          <w:sz w:val="24"/>
          <w:szCs w:val="24"/>
        </w:rPr>
        <w:t>US$ 15</w:t>
      </w:r>
      <w:r w:rsidR="002A426C" w:rsidRPr="008B096D">
        <w:rPr>
          <w:rFonts w:ascii="Times New Roman" w:hAnsi="Times New Roman" w:cs="Times New Roman"/>
          <w:sz w:val="24"/>
          <w:szCs w:val="24"/>
        </w:rPr>
        <w:t>,</w:t>
      </w:r>
      <w:r w:rsidRPr="008B096D">
        <w:rPr>
          <w:rFonts w:ascii="Times New Roman" w:hAnsi="Times New Roman" w:cs="Times New Roman"/>
          <w:sz w:val="24"/>
          <w:szCs w:val="24"/>
        </w:rPr>
        <w:t>41</w:t>
      </w:r>
      <w:r w:rsidR="008B096D" w:rsidRPr="008B096D">
        <w:rPr>
          <w:rFonts w:ascii="Times New Roman" w:hAnsi="Times New Roman" w:cs="Times New Roman"/>
          <w:sz w:val="24"/>
          <w:szCs w:val="24"/>
        </w:rPr>
        <w:t xml:space="preserve"> mi</w:t>
      </w:r>
      <w:r w:rsidRPr="008B096D">
        <w:rPr>
          <w:rFonts w:ascii="Times New Roman" w:hAnsi="Times New Roman" w:cs="Times New Roman"/>
          <w:sz w:val="24"/>
          <w:szCs w:val="24"/>
        </w:rPr>
        <w:t xml:space="preserve"> </w:t>
      </w:r>
      <w:r w:rsidRPr="00EE4ECE">
        <w:rPr>
          <w:rFonts w:ascii="Times New Roman" w:hAnsi="Times New Roman" w:cs="Times New Roman"/>
          <w:sz w:val="24"/>
          <w:szCs w:val="24"/>
        </w:rPr>
        <w:t xml:space="preserve">englobando não apenas a caldeira e o gerador, mas também a </w:t>
      </w:r>
      <w:r w:rsidR="002536A5">
        <w:rPr>
          <w:rFonts w:ascii="Times New Roman" w:hAnsi="Times New Roman" w:cs="Times New Roman"/>
          <w:sz w:val="24"/>
          <w:szCs w:val="24"/>
        </w:rPr>
        <w:t>e</w:t>
      </w:r>
      <w:r w:rsidRPr="00EE4ECE">
        <w:rPr>
          <w:rFonts w:ascii="Times New Roman" w:hAnsi="Times New Roman" w:cs="Times New Roman"/>
          <w:sz w:val="24"/>
          <w:szCs w:val="24"/>
        </w:rPr>
        <w:t xml:space="preserve">stação de </w:t>
      </w:r>
      <w:r w:rsidR="002536A5">
        <w:rPr>
          <w:rFonts w:ascii="Times New Roman" w:hAnsi="Times New Roman" w:cs="Times New Roman"/>
          <w:sz w:val="24"/>
          <w:szCs w:val="24"/>
        </w:rPr>
        <w:t>t</w:t>
      </w:r>
      <w:r w:rsidRPr="00EE4ECE">
        <w:rPr>
          <w:rFonts w:ascii="Times New Roman" w:hAnsi="Times New Roman" w:cs="Times New Roman"/>
          <w:sz w:val="24"/>
          <w:szCs w:val="24"/>
        </w:rPr>
        <w:t xml:space="preserve">ratamento de </w:t>
      </w:r>
      <w:r w:rsidR="002536A5">
        <w:rPr>
          <w:rFonts w:ascii="Times New Roman" w:hAnsi="Times New Roman" w:cs="Times New Roman"/>
          <w:sz w:val="24"/>
          <w:szCs w:val="24"/>
        </w:rPr>
        <w:t>á</w:t>
      </w:r>
      <w:r w:rsidRPr="00EE4ECE">
        <w:rPr>
          <w:rFonts w:ascii="Times New Roman" w:hAnsi="Times New Roman" w:cs="Times New Roman"/>
          <w:sz w:val="24"/>
          <w:szCs w:val="24"/>
        </w:rPr>
        <w:t xml:space="preserve">gua do </w:t>
      </w:r>
      <w:r w:rsidR="002536A5">
        <w:rPr>
          <w:rFonts w:ascii="Times New Roman" w:hAnsi="Times New Roman" w:cs="Times New Roman"/>
          <w:sz w:val="24"/>
          <w:szCs w:val="24"/>
        </w:rPr>
        <w:t>l</w:t>
      </w:r>
      <w:r w:rsidRPr="00EE4ECE">
        <w:rPr>
          <w:rFonts w:ascii="Times New Roman" w:hAnsi="Times New Roman" w:cs="Times New Roman"/>
          <w:sz w:val="24"/>
          <w:szCs w:val="24"/>
        </w:rPr>
        <w:t xml:space="preserve">avador de </w:t>
      </w:r>
      <w:r w:rsidR="002536A5">
        <w:rPr>
          <w:rFonts w:ascii="Times New Roman" w:hAnsi="Times New Roman" w:cs="Times New Roman"/>
          <w:sz w:val="24"/>
          <w:szCs w:val="24"/>
        </w:rPr>
        <w:t>g</w:t>
      </w:r>
      <w:r w:rsidRPr="00EE4ECE">
        <w:rPr>
          <w:rFonts w:ascii="Times New Roman" w:hAnsi="Times New Roman" w:cs="Times New Roman"/>
          <w:sz w:val="24"/>
          <w:szCs w:val="24"/>
        </w:rPr>
        <w:t xml:space="preserve">ases (ETALG) e outros investimentos </w:t>
      </w:r>
      <w:r w:rsidR="008B2F4C">
        <w:rPr>
          <w:rFonts w:ascii="Times New Roman" w:hAnsi="Times New Roman" w:cs="Times New Roman"/>
          <w:sz w:val="24"/>
          <w:szCs w:val="24"/>
        </w:rPr>
        <w:t>como na</w:t>
      </w:r>
      <w:r w:rsidRPr="00EE4ECE">
        <w:rPr>
          <w:rFonts w:ascii="Times New Roman" w:hAnsi="Times New Roman" w:cs="Times New Roman"/>
          <w:sz w:val="24"/>
          <w:szCs w:val="24"/>
        </w:rPr>
        <w:t xml:space="preserve"> aspersão/multijato e fábrica. O cálculo do payback desse investimento foi mensurado em torno de 3,3 anos, e se pagou em 5,9 anos na realidade.</w:t>
      </w:r>
    </w:p>
    <w:p w14:paraId="5073A2C9" w14:textId="74C2C223" w:rsidR="00EE4ECE" w:rsidRP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Atualmente, </w:t>
      </w:r>
      <w:r w:rsidR="002659A9">
        <w:rPr>
          <w:rFonts w:ascii="Times New Roman" w:hAnsi="Times New Roman" w:cs="Times New Roman"/>
          <w:sz w:val="24"/>
          <w:szCs w:val="24"/>
        </w:rPr>
        <w:t xml:space="preserve">a usina </w:t>
      </w:r>
      <w:r w:rsidR="002659A9" w:rsidRPr="00EE4ECE">
        <w:rPr>
          <w:rFonts w:ascii="Times New Roman" w:hAnsi="Times New Roman" w:cs="Times New Roman"/>
          <w:sz w:val="24"/>
          <w:szCs w:val="24"/>
        </w:rPr>
        <w:t xml:space="preserve">São João </w:t>
      </w:r>
      <w:r w:rsidR="002659A9">
        <w:rPr>
          <w:rFonts w:ascii="Times New Roman" w:hAnsi="Times New Roman" w:cs="Times New Roman"/>
          <w:sz w:val="24"/>
          <w:szCs w:val="24"/>
        </w:rPr>
        <w:t xml:space="preserve">possui </w:t>
      </w:r>
      <w:r w:rsidR="008E0480" w:rsidRPr="008E0480">
        <w:rPr>
          <w:rFonts w:ascii="Times New Roman" w:hAnsi="Times New Roman" w:cs="Times New Roman"/>
          <w:sz w:val="24"/>
          <w:szCs w:val="24"/>
        </w:rPr>
        <w:t xml:space="preserve">3 caldeiras </w:t>
      </w:r>
      <w:r w:rsidR="008E0480">
        <w:rPr>
          <w:rFonts w:ascii="Times New Roman" w:hAnsi="Times New Roman" w:cs="Times New Roman"/>
          <w:sz w:val="24"/>
          <w:szCs w:val="24"/>
        </w:rPr>
        <w:t xml:space="preserve">com pressão de vapor </w:t>
      </w:r>
      <w:r w:rsidR="008E0480" w:rsidRPr="008E0480">
        <w:rPr>
          <w:rFonts w:ascii="Times New Roman" w:hAnsi="Times New Roman" w:cs="Times New Roman"/>
          <w:sz w:val="24"/>
          <w:szCs w:val="24"/>
        </w:rPr>
        <w:t xml:space="preserve">de 21 Kgf/cm² e </w:t>
      </w:r>
      <w:r w:rsidR="008E0480">
        <w:rPr>
          <w:rFonts w:ascii="Times New Roman" w:hAnsi="Times New Roman" w:cs="Times New Roman"/>
          <w:sz w:val="24"/>
          <w:szCs w:val="24"/>
        </w:rPr>
        <w:t>a</w:t>
      </w:r>
      <w:r w:rsidR="008E0480" w:rsidRPr="008E0480">
        <w:rPr>
          <w:rFonts w:ascii="Times New Roman" w:hAnsi="Times New Roman" w:cs="Times New Roman"/>
          <w:sz w:val="24"/>
          <w:szCs w:val="24"/>
        </w:rPr>
        <w:t xml:space="preserve"> caldeira nova </w:t>
      </w:r>
      <w:r w:rsidR="008E0480">
        <w:rPr>
          <w:rFonts w:ascii="Times New Roman" w:hAnsi="Times New Roman" w:cs="Times New Roman"/>
          <w:sz w:val="24"/>
          <w:szCs w:val="24"/>
        </w:rPr>
        <w:t xml:space="preserve">com uma pressão </w:t>
      </w:r>
      <w:r w:rsidR="008E0480" w:rsidRPr="008E0480">
        <w:rPr>
          <w:rFonts w:ascii="Times New Roman" w:hAnsi="Times New Roman" w:cs="Times New Roman"/>
          <w:sz w:val="24"/>
          <w:szCs w:val="24"/>
        </w:rPr>
        <w:t>de 44 Kgf/cm²</w:t>
      </w:r>
      <w:r w:rsidR="008E0480">
        <w:rPr>
          <w:rFonts w:ascii="Times New Roman" w:hAnsi="Times New Roman" w:cs="Times New Roman"/>
          <w:sz w:val="24"/>
          <w:szCs w:val="24"/>
        </w:rPr>
        <w:t>, su</w:t>
      </w:r>
      <w:r w:rsidRPr="00EE4ECE">
        <w:rPr>
          <w:rFonts w:ascii="Times New Roman" w:hAnsi="Times New Roman" w:cs="Times New Roman"/>
          <w:sz w:val="24"/>
          <w:szCs w:val="24"/>
        </w:rPr>
        <w:t>a capacidade de exportação está limitada à demanda contratada de 12 MW. A usina possui uma demanda máxima contratada para importação de 5 MW. O gerador novo, um componente central da ampliação, possui capacidade de 31,25 MVA, com um fator de potência de 0,92, resultando em uma capacidade máxima de 28,75 MW. A usina, portanto, tem uma capacidade instalada que ultrapassa seu limite de exportação contratual, indicando uma margem operacional.</w:t>
      </w:r>
    </w:p>
    <w:p w14:paraId="7F38DF11" w14:textId="53AEE707" w:rsid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O </w:t>
      </w:r>
      <w:r w:rsidR="00BE5114" w:rsidRPr="00EE4ECE">
        <w:rPr>
          <w:rFonts w:ascii="Times New Roman" w:hAnsi="Times New Roman" w:cs="Times New Roman"/>
          <w:sz w:val="24"/>
          <w:szCs w:val="24"/>
        </w:rPr>
        <w:t>resultado</w:t>
      </w:r>
      <w:r w:rsidRPr="00EE4ECE">
        <w:rPr>
          <w:rFonts w:ascii="Times New Roman" w:hAnsi="Times New Roman" w:cs="Times New Roman"/>
          <w:sz w:val="24"/>
          <w:szCs w:val="24"/>
        </w:rPr>
        <w:t xml:space="preserve"> deste estudo foi uma mudança drástica na cogeração da usina. A planta industrial com um processo isolado operado anteriormente em manual foi totalmente modificada, foram feitos retrofites nas CCM de cada setor, somando a implantação de novos e modernos equipamentos ao processo, resultando em um sistema de interligação de barras automático, ligando o gerador novo em paralelo com a rede da concessionária o que trouxe um novo desafio, implicando em contratos legais permitindo a comercialização do excedente de energia elétrica gerada pelo turbogerador novo. Com essa nova atualização da planta, a usina se viu na obrigação legal de estabelecer um </w:t>
      </w:r>
      <w:r w:rsidRPr="00EE4ECE">
        <w:rPr>
          <w:rFonts w:ascii="Times New Roman" w:hAnsi="Times New Roman" w:cs="Times New Roman"/>
          <w:sz w:val="24"/>
          <w:szCs w:val="24"/>
        </w:rPr>
        <w:lastRenderedPageBreak/>
        <w:t>contrato de importação e de exportação de energia elétrica, garantindo assim limites contratuais a serem seguidos rigorosamente evitando penalidades.</w:t>
      </w:r>
    </w:p>
    <w:p w14:paraId="64F02445" w14:textId="1C11C84D" w:rsidR="007D084E" w:rsidRDefault="00BE5114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DF11CF">
        <w:rPr>
          <w:rFonts w:ascii="Times New Roman" w:hAnsi="Times New Roman" w:cs="Times New Roman"/>
          <w:sz w:val="24"/>
          <w:szCs w:val="24"/>
        </w:rPr>
        <w:t xml:space="preserve"> </w:t>
      </w:r>
      <w:r w:rsidR="00DF11CF">
        <w:rPr>
          <w:rFonts w:ascii="Times New Roman" w:hAnsi="Times New Roman" w:cs="Times New Roman"/>
          <w:sz w:val="24"/>
          <w:szCs w:val="24"/>
        </w:rPr>
        <w:t>Q</w:t>
      </w:r>
      <w:r w:rsidR="00DF11CF" w:rsidRPr="00DF11CF">
        <w:rPr>
          <w:rFonts w:ascii="Times New Roman" w:hAnsi="Times New Roman" w:cs="Times New Roman"/>
          <w:sz w:val="24"/>
          <w:szCs w:val="24"/>
        </w:rPr>
        <w:t xml:space="preserve">uadro </w:t>
      </w:r>
      <w:r w:rsidR="00DF11CF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contém </w:t>
      </w:r>
      <w:r w:rsidR="00DF11CF">
        <w:rPr>
          <w:rFonts w:ascii="Times New Roman" w:hAnsi="Times New Roman" w:cs="Times New Roman"/>
          <w:sz w:val="24"/>
          <w:szCs w:val="24"/>
        </w:rPr>
        <w:t xml:space="preserve">o comparativo de como a usina era antes da modernização </w:t>
      </w:r>
      <w:r w:rsidR="00554E08">
        <w:rPr>
          <w:rFonts w:ascii="Times New Roman" w:hAnsi="Times New Roman" w:cs="Times New Roman"/>
          <w:sz w:val="24"/>
          <w:szCs w:val="24"/>
        </w:rPr>
        <w:t>e de como ela ficou após</w:t>
      </w:r>
      <w:r w:rsidR="00DF11CF">
        <w:rPr>
          <w:rFonts w:ascii="Times New Roman" w:hAnsi="Times New Roman" w:cs="Times New Roman"/>
          <w:sz w:val="24"/>
          <w:szCs w:val="24"/>
        </w:rPr>
        <w:t xml:space="preserve"> a instalação </w:t>
      </w:r>
      <w:r w:rsidR="00554E08">
        <w:rPr>
          <w:rFonts w:ascii="Times New Roman" w:hAnsi="Times New Roman" w:cs="Times New Roman"/>
          <w:sz w:val="24"/>
          <w:szCs w:val="24"/>
        </w:rPr>
        <w:t>d</w:t>
      </w:r>
      <w:r w:rsidR="00DF11CF">
        <w:rPr>
          <w:rFonts w:ascii="Times New Roman" w:hAnsi="Times New Roman" w:cs="Times New Roman"/>
          <w:sz w:val="24"/>
          <w:szCs w:val="24"/>
        </w:rPr>
        <w:t>os novos equipamentos.</w:t>
      </w:r>
    </w:p>
    <w:p w14:paraId="62567E6F" w14:textId="77777777" w:rsidR="00AB36AE" w:rsidRPr="00DF11CF" w:rsidRDefault="00AB36AE" w:rsidP="001A515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590E8D" w14:textId="6BAC66C5" w:rsidR="008E0480" w:rsidRDefault="008E0480" w:rsidP="008E048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Quadro 1 - Comparativo pós modernização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E0480" w14:paraId="2309716B" w14:textId="77777777" w:rsidTr="00037978">
        <w:tc>
          <w:tcPr>
            <w:tcW w:w="2831" w:type="dxa"/>
            <w:shd w:val="clear" w:color="auto" w:fill="F2F2F2" w:themeFill="background1" w:themeFillShade="F2"/>
            <w:vAlign w:val="bottom"/>
          </w:tcPr>
          <w:p w14:paraId="5E88CF54" w14:textId="77777777" w:rsidR="008E0480" w:rsidRPr="001A515D" w:rsidRDefault="008E0480" w:rsidP="00216D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Característica</w:t>
            </w:r>
          </w:p>
        </w:tc>
        <w:tc>
          <w:tcPr>
            <w:tcW w:w="2831" w:type="dxa"/>
            <w:shd w:val="clear" w:color="auto" w:fill="F2F2F2" w:themeFill="background1" w:themeFillShade="F2"/>
            <w:vAlign w:val="bottom"/>
          </w:tcPr>
          <w:p w14:paraId="4186C380" w14:textId="77777777" w:rsidR="008E0480" w:rsidRPr="001A515D" w:rsidRDefault="008E0480" w:rsidP="00216D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Antes da Modernização</w:t>
            </w:r>
          </w:p>
        </w:tc>
        <w:tc>
          <w:tcPr>
            <w:tcW w:w="2832" w:type="dxa"/>
            <w:shd w:val="clear" w:color="auto" w:fill="F2F2F2" w:themeFill="background1" w:themeFillShade="F2"/>
            <w:vAlign w:val="bottom"/>
          </w:tcPr>
          <w:p w14:paraId="6A06D43F" w14:textId="77777777" w:rsidR="008E0480" w:rsidRPr="001A515D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Atualmente (Após a Modernização)</w:t>
            </w:r>
          </w:p>
        </w:tc>
      </w:tr>
      <w:tr w:rsidR="008E0480" w14:paraId="1ABFEE66" w14:textId="77777777" w:rsidTr="00216D79">
        <w:tc>
          <w:tcPr>
            <w:tcW w:w="2831" w:type="dxa"/>
            <w:vAlign w:val="bottom"/>
          </w:tcPr>
          <w:p w14:paraId="3C50EB5D" w14:textId="77777777" w:rsidR="008E0480" w:rsidRPr="001A515D" w:rsidRDefault="008E0480" w:rsidP="00216D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Caldeiras</w:t>
            </w:r>
          </w:p>
        </w:tc>
        <w:tc>
          <w:tcPr>
            <w:tcW w:w="2831" w:type="dxa"/>
            <w:vAlign w:val="bottom"/>
          </w:tcPr>
          <w:p w14:paraId="0762324B" w14:textId="77777777" w:rsidR="008E0480" w:rsidRPr="008E0480" w:rsidRDefault="008E0480" w:rsidP="00216D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7 caldeiras de 21 Kgf/cm²</w:t>
            </w:r>
          </w:p>
        </w:tc>
        <w:tc>
          <w:tcPr>
            <w:tcW w:w="2832" w:type="dxa"/>
            <w:vAlign w:val="bottom"/>
          </w:tcPr>
          <w:p w14:paraId="5D30231D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3 caldeiras de 21 Kgf/cm² e 1 caldeira nova de 44 Kgf/cm²</w:t>
            </w:r>
          </w:p>
        </w:tc>
      </w:tr>
      <w:tr w:rsidR="008E0480" w14:paraId="45FFD3CC" w14:textId="77777777" w:rsidTr="00216D79">
        <w:tc>
          <w:tcPr>
            <w:tcW w:w="2831" w:type="dxa"/>
            <w:vAlign w:val="bottom"/>
          </w:tcPr>
          <w:p w14:paraId="502970E2" w14:textId="77777777" w:rsidR="008E0480" w:rsidRPr="001A515D" w:rsidRDefault="008E0480" w:rsidP="00216D79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Geradores</w:t>
            </w:r>
          </w:p>
        </w:tc>
        <w:tc>
          <w:tcPr>
            <w:tcW w:w="2831" w:type="dxa"/>
            <w:vAlign w:val="bottom"/>
          </w:tcPr>
          <w:p w14:paraId="60DC5FEC" w14:textId="77777777" w:rsidR="008E0480" w:rsidRPr="008E0480" w:rsidRDefault="008E0480" w:rsidP="00554E08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4 geradores trabalhando em ilha</w:t>
            </w:r>
          </w:p>
        </w:tc>
        <w:tc>
          <w:tcPr>
            <w:tcW w:w="2832" w:type="dxa"/>
            <w:vAlign w:val="bottom"/>
          </w:tcPr>
          <w:p w14:paraId="0158C811" w14:textId="52F31868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4 geradores em Stand</w:t>
            </w:r>
            <w:r w:rsidR="00554E08">
              <w:rPr>
                <w:rFonts w:ascii="Times New Roman" w:hAnsi="Times New Roman" w:cs="Times New Roman"/>
                <w:sz w:val="20"/>
                <w:szCs w:val="20"/>
              </w:rPr>
              <w:t xml:space="preserve"> B</w:t>
            </w: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 xml:space="preserve">y e </w:t>
            </w:r>
            <w:r w:rsidR="00554E08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 xml:space="preserve"> gerador novo</w:t>
            </w:r>
          </w:p>
        </w:tc>
      </w:tr>
      <w:tr w:rsidR="008E0480" w14:paraId="386B0E87" w14:textId="77777777" w:rsidTr="00216D79">
        <w:tc>
          <w:tcPr>
            <w:tcW w:w="2831" w:type="dxa"/>
            <w:vAlign w:val="bottom"/>
          </w:tcPr>
          <w:p w14:paraId="026D059E" w14:textId="77777777" w:rsidR="008E0480" w:rsidRPr="001A515D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Consumo Interno</w:t>
            </w:r>
          </w:p>
        </w:tc>
        <w:tc>
          <w:tcPr>
            <w:tcW w:w="2831" w:type="dxa"/>
            <w:vAlign w:val="bottom"/>
          </w:tcPr>
          <w:p w14:paraId="2B7D286F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10 MWh</w:t>
            </w:r>
          </w:p>
        </w:tc>
        <w:tc>
          <w:tcPr>
            <w:tcW w:w="2832" w:type="dxa"/>
            <w:vAlign w:val="bottom"/>
          </w:tcPr>
          <w:p w14:paraId="7B850057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+/- 15 MWh</w:t>
            </w:r>
          </w:p>
        </w:tc>
      </w:tr>
      <w:tr w:rsidR="008E0480" w14:paraId="723CFA16" w14:textId="77777777" w:rsidTr="00216D79">
        <w:tc>
          <w:tcPr>
            <w:tcW w:w="2831" w:type="dxa"/>
            <w:vAlign w:val="bottom"/>
          </w:tcPr>
          <w:p w14:paraId="7E1933DF" w14:textId="77777777" w:rsidR="008E0480" w:rsidRPr="001A515D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Energia Total Gerada</w:t>
            </w:r>
          </w:p>
        </w:tc>
        <w:tc>
          <w:tcPr>
            <w:tcW w:w="2831" w:type="dxa"/>
            <w:vAlign w:val="bottom"/>
          </w:tcPr>
          <w:p w14:paraId="27E7E242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15 MVA</w:t>
            </w:r>
          </w:p>
        </w:tc>
        <w:tc>
          <w:tcPr>
            <w:tcW w:w="2832" w:type="dxa"/>
            <w:vAlign w:val="bottom"/>
          </w:tcPr>
          <w:p w14:paraId="05DFB55A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31,25 MVA</w:t>
            </w:r>
          </w:p>
        </w:tc>
      </w:tr>
      <w:tr w:rsidR="008E0480" w14:paraId="47A86E6C" w14:textId="77777777" w:rsidTr="00216D79">
        <w:tc>
          <w:tcPr>
            <w:tcW w:w="2831" w:type="dxa"/>
            <w:vAlign w:val="bottom"/>
          </w:tcPr>
          <w:p w14:paraId="28530745" w14:textId="77777777" w:rsidR="008E0480" w:rsidRPr="001A515D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515D">
              <w:rPr>
                <w:rFonts w:ascii="Times New Roman" w:hAnsi="Times New Roman" w:cs="Times New Roman"/>
                <w:sz w:val="20"/>
                <w:szCs w:val="20"/>
              </w:rPr>
              <w:t>Excedente de Energia</w:t>
            </w:r>
          </w:p>
        </w:tc>
        <w:tc>
          <w:tcPr>
            <w:tcW w:w="2831" w:type="dxa"/>
            <w:vAlign w:val="bottom"/>
          </w:tcPr>
          <w:p w14:paraId="144A9D7D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0 MWh</w:t>
            </w:r>
          </w:p>
        </w:tc>
        <w:tc>
          <w:tcPr>
            <w:tcW w:w="2832" w:type="dxa"/>
            <w:vAlign w:val="bottom"/>
          </w:tcPr>
          <w:p w14:paraId="0D887976" w14:textId="77777777" w:rsidR="008E0480" w:rsidRPr="008E0480" w:rsidRDefault="008E0480" w:rsidP="00216D79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E0480">
              <w:rPr>
                <w:rFonts w:ascii="Times New Roman" w:hAnsi="Times New Roman" w:cs="Times New Roman"/>
                <w:sz w:val="20"/>
                <w:szCs w:val="20"/>
              </w:rPr>
              <w:t>Exportação de 12 MWh</w:t>
            </w:r>
          </w:p>
        </w:tc>
      </w:tr>
    </w:tbl>
    <w:p w14:paraId="23A0F4CF" w14:textId="7896B397" w:rsidR="008E0480" w:rsidRPr="00B25AC8" w:rsidRDefault="008E0480" w:rsidP="008E048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Fonte: O autor</w:t>
      </w:r>
      <w:r w:rsidR="007E390C">
        <w:rPr>
          <w:rFonts w:ascii="Times New Roman" w:hAnsi="Times New Roman" w:cs="Times New Roman"/>
          <w:sz w:val="20"/>
          <w:szCs w:val="20"/>
        </w:rPr>
        <w:t xml:space="preserve"> </w:t>
      </w:r>
      <w:r w:rsidR="00504CA7">
        <w:rPr>
          <w:rFonts w:ascii="Times New Roman" w:hAnsi="Times New Roman" w:cs="Times New Roman"/>
          <w:sz w:val="20"/>
          <w:szCs w:val="20"/>
        </w:rPr>
        <w:t>(</w:t>
      </w:r>
      <w:r w:rsidR="007E390C">
        <w:rPr>
          <w:rFonts w:ascii="Times New Roman" w:hAnsi="Times New Roman" w:cs="Times New Roman"/>
          <w:sz w:val="20"/>
          <w:szCs w:val="20"/>
        </w:rPr>
        <w:t>2025</w:t>
      </w:r>
      <w:r w:rsidR="00504CA7">
        <w:rPr>
          <w:rFonts w:ascii="Times New Roman" w:hAnsi="Times New Roman" w:cs="Times New Roman"/>
          <w:sz w:val="20"/>
          <w:szCs w:val="20"/>
        </w:rPr>
        <w:t>)</w:t>
      </w:r>
    </w:p>
    <w:p w14:paraId="5D016F3E" w14:textId="77777777" w:rsidR="00A80329" w:rsidRPr="00EE4ECE" w:rsidRDefault="00A80329" w:rsidP="007524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29E84" w14:textId="170A5972" w:rsidR="00EE4ECE" w:rsidRP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5.2. Análise das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enalidades por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ltrapassagem dos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imites de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nergia</w:t>
      </w:r>
    </w:p>
    <w:p w14:paraId="0217F3DE" w14:textId="0EBD0957" w:rsid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análise das penalidades por ultrapassagem dos limites de energia na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>sina São João de Araras (SP) revela um cenário complexo, influenciado pela regulamentação da ANEEL e pela dinâmica operacional da usina.</w:t>
      </w:r>
    </w:p>
    <w:p w14:paraId="25D82B30" w14:textId="77777777" w:rsidR="00A80329" w:rsidRPr="00EE4ECE" w:rsidRDefault="00A80329" w:rsidP="00AF69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32AD1" w14:textId="60869C76" w:rsidR="00EE4ECE" w:rsidRP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5.2.1. Penalidade por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ltrapassagem da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 xml:space="preserve">emanda de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mportação (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E4ECE">
        <w:rPr>
          <w:rFonts w:ascii="Times New Roman" w:hAnsi="Times New Roman" w:cs="Times New Roman"/>
          <w:b/>
          <w:bCs/>
          <w:sz w:val="24"/>
          <w:szCs w:val="24"/>
        </w:rPr>
        <w:t>onsumo)</w:t>
      </w:r>
    </w:p>
    <w:p w14:paraId="6ABE8358" w14:textId="1EC5261C" w:rsidR="00EE4ECE" w:rsidRP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ultrapassagem da demanda de importação representa o risco financeiro mais imediato e direto para a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 xml:space="preserve">sina São João, especialmente em situações de desarme do gerador durante a safra ou picos de consumo na entressafra. A base legal para essas penalidades é a </w:t>
      </w:r>
      <w:r w:rsidR="00962992">
        <w:rPr>
          <w:rFonts w:ascii="Times New Roman" w:hAnsi="Times New Roman" w:cs="Times New Roman"/>
          <w:sz w:val="24"/>
          <w:szCs w:val="24"/>
        </w:rPr>
        <w:t>r</w:t>
      </w:r>
      <w:r w:rsidRPr="00EE4ECE">
        <w:rPr>
          <w:rFonts w:ascii="Times New Roman" w:hAnsi="Times New Roman" w:cs="Times New Roman"/>
          <w:sz w:val="24"/>
          <w:szCs w:val="24"/>
        </w:rPr>
        <w:t xml:space="preserve">esolução </w:t>
      </w:r>
      <w:r w:rsidR="00962992">
        <w:rPr>
          <w:rFonts w:ascii="Times New Roman" w:hAnsi="Times New Roman" w:cs="Times New Roman"/>
          <w:sz w:val="24"/>
          <w:szCs w:val="24"/>
        </w:rPr>
        <w:t>n</w:t>
      </w:r>
      <w:r w:rsidRPr="00EE4ECE">
        <w:rPr>
          <w:rFonts w:ascii="Times New Roman" w:hAnsi="Times New Roman" w:cs="Times New Roman"/>
          <w:sz w:val="24"/>
          <w:szCs w:val="24"/>
        </w:rPr>
        <w:t>ormativa ANEEL nº 1.000/2021 (Art. 301) e as cláusulas 1.1.26 e 12.5 do contrato de uso do sistema de distribuição (CUSD) da usina com a Neoenergia Elektro.</w:t>
      </w:r>
    </w:p>
    <w:p w14:paraId="29C1BBA2" w14:textId="2CE20A79" w:rsid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usina, pertencente ao </w:t>
      </w:r>
      <w:r w:rsidR="00962992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 xml:space="preserve">ubgrupo </w:t>
      </w:r>
      <w:r w:rsidR="00962992">
        <w:rPr>
          <w:rFonts w:ascii="Times New Roman" w:hAnsi="Times New Roman" w:cs="Times New Roman"/>
          <w:sz w:val="24"/>
          <w:szCs w:val="24"/>
        </w:rPr>
        <w:t>t</w:t>
      </w:r>
      <w:r w:rsidRPr="00EE4ECE">
        <w:rPr>
          <w:rFonts w:ascii="Times New Roman" w:hAnsi="Times New Roman" w:cs="Times New Roman"/>
          <w:sz w:val="24"/>
          <w:szCs w:val="24"/>
        </w:rPr>
        <w:t xml:space="preserve">arifário A4 e </w:t>
      </w:r>
      <w:r w:rsidR="00962992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lasse de </w:t>
      </w:r>
      <w:r w:rsidR="00962992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onsumo </w:t>
      </w:r>
      <w:r w:rsidR="00962992">
        <w:rPr>
          <w:rFonts w:ascii="Times New Roman" w:hAnsi="Times New Roman" w:cs="Times New Roman"/>
          <w:sz w:val="24"/>
          <w:szCs w:val="24"/>
        </w:rPr>
        <w:t>c</w:t>
      </w:r>
      <w:r w:rsidRPr="00EE4ECE">
        <w:rPr>
          <w:rFonts w:ascii="Times New Roman" w:hAnsi="Times New Roman" w:cs="Times New Roman"/>
          <w:sz w:val="24"/>
          <w:szCs w:val="24"/>
        </w:rPr>
        <w:t xml:space="preserve">omercial, </w:t>
      </w:r>
      <w:r w:rsidR="00962992">
        <w:rPr>
          <w:rFonts w:ascii="Times New Roman" w:hAnsi="Times New Roman" w:cs="Times New Roman"/>
          <w:sz w:val="24"/>
          <w:szCs w:val="24"/>
        </w:rPr>
        <w:t>s</w:t>
      </w:r>
      <w:r w:rsidRPr="00EE4ECE">
        <w:rPr>
          <w:rFonts w:ascii="Times New Roman" w:hAnsi="Times New Roman" w:cs="Times New Roman"/>
          <w:sz w:val="24"/>
          <w:szCs w:val="24"/>
        </w:rPr>
        <w:t xml:space="preserve">erviços e </w:t>
      </w:r>
      <w:r w:rsidR="00962992">
        <w:rPr>
          <w:rFonts w:ascii="Times New Roman" w:hAnsi="Times New Roman" w:cs="Times New Roman"/>
          <w:sz w:val="24"/>
          <w:szCs w:val="24"/>
        </w:rPr>
        <w:t>o</w:t>
      </w:r>
      <w:r w:rsidRPr="00EE4ECE">
        <w:rPr>
          <w:rFonts w:ascii="Times New Roman" w:hAnsi="Times New Roman" w:cs="Times New Roman"/>
          <w:sz w:val="24"/>
          <w:szCs w:val="24"/>
        </w:rPr>
        <w:t xml:space="preserve">utras </w:t>
      </w:r>
      <w:r w:rsidR="00962992">
        <w:rPr>
          <w:rFonts w:ascii="Times New Roman" w:hAnsi="Times New Roman" w:cs="Times New Roman"/>
          <w:sz w:val="24"/>
          <w:szCs w:val="24"/>
        </w:rPr>
        <w:t>a</w:t>
      </w:r>
      <w:r w:rsidRPr="00EE4ECE">
        <w:rPr>
          <w:rFonts w:ascii="Times New Roman" w:hAnsi="Times New Roman" w:cs="Times New Roman"/>
          <w:sz w:val="24"/>
          <w:szCs w:val="24"/>
        </w:rPr>
        <w:t xml:space="preserve">tividades, opera na </w:t>
      </w:r>
      <w:r w:rsidR="00962992">
        <w:rPr>
          <w:rFonts w:ascii="Times New Roman" w:hAnsi="Times New Roman" w:cs="Times New Roman"/>
          <w:sz w:val="24"/>
          <w:szCs w:val="24"/>
        </w:rPr>
        <w:t>m</w:t>
      </w:r>
      <w:r w:rsidRPr="00EE4ECE">
        <w:rPr>
          <w:rFonts w:ascii="Times New Roman" w:hAnsi="Times New Roman" w:cs="Times New Roman"/>
          <w:sz w:val="24"/>
          <w:szCs w:val="24"/>
        </w:rPr>
        <w:t xml:space="preserve">odalidade </w:t>
      </w:r>
      <w:r w:rsidR="00962992">
        <w:rPr>
          <w:rFonts w:ascii="Times New Roman" w:hAnsi="Times New Roman" w:cs="Times New Roman"/>
          <w:sz w:val="24"/>
          <w:szCs w:val="24"/>
        </w:rPr>
        <w:t>t</w:t>
      </w:r>
      <w:r w:rsidRPr="00EE4ECE">
        <w:rPr>
          <w:rFonts w:ascii="Times New Roman" w:hAnsi="Times New Roman" w:cs="Times New Roman"/>
          <w:sz w:val="24"/>
          <w:szCs w:val="24"/>
        </w:rPr>
        <w:t xml:space="preserve">arifária </w:t>
      </w:r>
      <w:r w:rsidR="00962992">
        <w:rPr>
          <w:rFonts w:ascii="Times New Roman" w:hAnsi="Times New Roman" w:cs="Times New Roman"/>
          <w:sz w:val="24"/>
          <w:szCs w:val="24"/>
        </w:rPr>
        <w:t>h</w:t>
      </w:r>
      <w:r w:rsidRPr="00EE4ECE">
        <w:rPr>
          <w:rFonts w:ascii="Times New Roman" w:hAnsi="Times New Roman" w:cs="Times New Roman"/>
          <w:sz w:val="24"/>
          <w:szCs w:val="24"/>
        </w:rPr>
        <w:t xml:space="preserve">orária </w:t>
      </w:r>
      <w:r w:rsidR="00962992">
        <w:rPr>
          <w:rFonts w:ascii="Times New Roman" w:hAnsi="Times New Roman" w:cs="Times New Roman"/>
          <w:sz w:val="24"/>
          <w:szCs w:val="24"/>
        </w:rPr>
        <w:t>v</w:t>
      </w:r>
      <w:r w:rsidRPr="00EE4ECE">
        <w:rPr>
          <w:rFonts w:ascii="Times New Roman" w:hAnsi="Times New Roman" w:cs="Times New Roman"/>
          <w:sz w:val="24"/>
          <w:szCs w:val="24"/>
        </w:rPr>
        <w:t>erde. Nesta modalidade, o montante de uso do sistema de distribuição (MUSD) contratado para carga é uma demanda única de 5 MW, sem diferenciação entre períodos de ponta e fora de ponta.</w:t>
      </w:r>
    </w:p>
    <w:p w14:paraId="062CCCEB" w14:textId="377E3EE0" w:rsidR="00A83FA6" w:rsidRPr="00EE4ECE" w:rsidRDefault="00A83FA6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Quadro 2 mostra a demanda de importação dentro da tolerância evitando qualquer tipo de multa.</w:t>
      </w:r>
    </w:p>
    <w:p w14:paraId="5C4309A3" w14:textId="1B847121" w:rsidR="00ED183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ECE">
        <w:rPr>
          <w:rFonts w:ascii="Times New Roman" w:hAnsi="Times New Roman" w:cs="Times New Roman"/>
          <w:sz w:val="24"/>
          <w:szCs w:val="24"/>
        </w:rPr>
        <w:t xml:space="preserve">A ANEEL estabelece uma tolerância de 5% sobre a demanda contratada antes da aplicação de multas para a demanda de consumo. Para a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EE4ECE">
        <w:rPr>
          <w:rFonts w:ascii="Times New Roman" w:hAnsi="Times New Roman" w:cs="Times New Roman"/>
          <w:sz w:val="24"/>
          <w:szCs w:val="24"/>
        </w:rPr>
        <w:t>sina São João, com 5 MW contratados, essa tolerância corresponde a 250 kW (5% de 5 MW), elevando o limite tolerado para 5,25 MW</w:t>
      </w:r>
      <w:r w:rsidR="00A83FA6">
        <w:rPr>
          <w:rFonts w:ascii="Times New Roman" w:hAnsi="Times New Roman" w:cs="Times New Roman"/>
          <w:sz w:val="24"/>
          <w:szCs w:val="24"/>
        </w:rPr>
        <w:t>.</w:t>
      </w:r>
    </w:p>
    <w:p w14:paraId="4E7DB742" w14:textId="1F091DEB" w:rsidR="00EE4ECE" w:rsidRPr="002659A9" w:rsidRDefault="00EE4ECE" w:rsidP="008B096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659A9">
        <w:rPr>
          <w:rFonts w:ascii="Times New Roman" w:hAnsi="Times New Roman" w:cs="Times New Roman"/>
          <w:sz w:val="20"/>
          <w:szCs w:val="20"/>
        </w:rPr>
        <w:lastRenderedPageBreak/>
        <w:t>Quadro</w:t>
      </w:r>
      <w:r w:rsidR="008E0480">
        <w:rPr>
          <w:rFonts w:ascii="Times New Roman" w:hAnsi="Times New Roman" w:cs="Times New Roman"/>
          <w:sz w:val="20"/>
          <w:szCs w:val="20"/>
        </w:rPr>
        <w:t xml:space="preserve"> 2</w:t>
      </w:r>
      <w:r w:rsidRPr="002659A9">
        <w:rPr>
          <w:rFonts w:ascii="Times New Roman" w:hAnsi="Times New Roman" w:cs="Times New Roman"/>
          <w:sz w:val="20"/>
          <w:szCs w:val="20"/>
        </w:rPr>
        <w:t xml:space="preserve"> - Demanda </w:t>
      </w:r>
      <w:r w:rsidR="00962992" w:rsidRPr="002659A9">
        <w:rPr>
          <w:rFonts w:ascii="Times New Roman" w:hAnsi="Times New Roman" w:cs="Times New Roman"/>
          <w:sz w:val="20"/>
          <w:szCs w:val="20"/>
        </w:rPr>
        <w:t>m</w:t>
      </w:r>
      <w:r w:rsidRPr="002659A9">
        <w:rPr>
          <w:rFonts w:ascii="Times New Roman" w:hAnsi="Times New Roman" w:cs="Times New Roman"/>
          <w:sz w:val="20"/>
          <w:szCs w:val="20"/>
        </w:rPr>
        <w:t xml:space="preserve">edida dentro da </w:t>
      </w:r>
      <w:r w:rsidR="00962992" w:rsidRPr="002659A9">
        <w:rPr>
          <w:rFonts w:ascii="Times New Roman" w:hAnsi="Times New Roman" w:cs="Times New Roman"/>
          <w:sz w:val="20"/>
          <w:szCs w:val="20"/>
        </w:rPr>
        <w:t>t</w:t>
      </w:r>
      <w:r w:rsidRPr="002659A9">
        <w:rPr>
          <w:rFonts w:ascii="Times New Roman" w:hAnsi="Times New Roman" w:cs="Times New Roman"/>
          <w:sz w:val="20"/>
          <w:szCs w:val="20"/>
        </w:rPr>
        <w:t xml:space="preserve">olerância de </w:t>
      </w:r>
      <w:r w:rsidR="00962992" w:rsidRPr="002659A9">
        <w:rPr>
          <w:rFonts w:ascii="Times New Roman" w:hAnsi="Times New Roman" w:cs="Times New Roman"/>
          <w:sz w:val="20"/>
          <w:szCs w:val="20"/>
        </w:rPr>
        <w:t>i</w:t>
      </w:r>
      <w:r w:rsidRPr="002659A9">
        <w:rPr>
          <w:rFonts w:ascii="Times New Roman" w:hAnsi="Times New Roman" w:cs="Times New Roman"/>
          <w:sz w:val="20"/>
          <w:szCs w:val="20"/>
        </w:rPr>
        <w:t>mportação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681"/>
        <w:gridCol w:w="4819"/>
      </w:tblGrid>
      <w:tr w:rsidR="00EE4ECE" w:rsidRPr="00934550" w14:paraId="52696925" w14:textId="77777777" w:rsidTr="001A515D">
        <w:tc>
          <w:tcPr>
            <w:tcW w:w="3681" w:type="dxa"/>
            <w:shd w:val="clear" w:color="auto" w:fill="F2F2F2" w:themeFill="background1" w:themeFillShade="F2"/>
            <w:hideMark/>
          </w:tcPr>
          <w:p w14:paraId="47EC403C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4819" w:type="dxa"/>
            <w:shd w:val="clear" w:color="auto" w:fill="F2F2F2" w:themeFill="background1" w:themeFillShade="F2"/>
            <w:hideMark/>
          </w:tcPr>
          <w:p w14:paraId="4D690ECB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Valor</w:t>
            </w:r>
          </w:p>
        </w:tc>
      </w:tr>
      <w:tr w:rsidR="00EE4ECE" w:rsidRPr="00934550" w14:paraId="1B5FEA3C" w14:textId="77777777" w:rsidTr="00302B4E">
        <w:tc>
          <w:tcPr>
            <w:tcW w:w="3681" w:type="dxa"/>
            <w:hideMark/>
          </w:tcPr>
          <w:p w14:paraId="30F3A3C2" w14:textId="282A77E9" w:rsidR="00EE4ECE" w:rsidRPr="002A426C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Demanda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ontratada</w:t>
            </w:r>
          </w:p>
        </w:tc>
        <w:tc>
          <w:tcPr>
            <w:tcW w:w="4819" w:type="dxa"/>
            <w:hideMark/>
          </w:tcPr>
          <w:p w14:paraId="0DDE11DC" w14:textId="77777777" w:rsidR="00EE4ECE" w:rsidRPr="002A426C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5.000 kW</w:t>
            </w:r>
          </w:p>
        </w:tc>
      </w:tr>
      <w:tr w:rsidR="00EE4ECE" w:rsidRPr="00934550" w14:paraId="7520B5D9" w14:textId="77777777" w:rsidTr="00302B4E">
        <w:tc>
          <w:tcPr>
            <w:tcW w:w="3681" w:type="dxa"/>
            <w:hideMark/>
          </w:tcPr>
          <w:p w14:paraId="49A9B3F2" w14:textId="3DE9938C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Tolerância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áxima (5%)</w:t>
            </w:r>
          </w:p>
        </w:tc>
        <w:tc>
          <w:tcPr>
            <w:tcW w:w="4819" w:type="dxa"/>
            <w:hideMark/>
          </w:tcPr>
          <w:p w14:paraId="0E6934F1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5.250 kW (5.000 × 1,05)</w:t>
            </w:r>
          </w:p>
        </w:tc>
      </w:tr>
      <w:tr w:rsidR="00EE4ECE" w:rsidRPr="00934550" w14:paraId="5A4D8ED7" w14:textId="77777777" w:rsidTr="00302B4E">
        <w:tc>
          <w:tcPr>
            <w:tcW w:w="3681" w:type="dxa"/>
            <w:hideMark/>
          </w:tcPr>
          <w:p w14:paraId="02ED3DCC" w14:textId="37B55800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Demanda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edida</w:t>
            </w:r>
          </w:p>
        </w:tc>
        <w:tc>
          <w:tcPr>
            <w:tcW w:w="4819" w:type="dxa"/>
            <w:hideMark/>
          </w:tcPr>
          <w:p w14:paraId="6268673E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5.100 kW</w:t>
            </w:r>
          </w:p>
        </w:tc>
      </w:tr>
      <w:tr w:rsidR="00EE4ECE" w:rsidRPr="00934550" w14:paraId="5EB37B81" w14:textId="77777777" w:rsidTr="00302B4E">
        <w:tc>
          <w:tcPr>
            <w:tcW w:w="3681" w:type="dxa"/>
            <w:hideMark/>
          </w:tcPr>
          <w:p w14:paraId="6C6DAC5D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Situação</w:t>
            </w:r>
          </w:p>
        </w:tc>
        <w:tc>
          <w:tcPr>
            <w:tcW w:w="4819" w:type="dxa"/>
            <w:hideMark/>
          </w:tcPr>
          <w:p w14:paraId="467A58F5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Dentro da tolerância</w:t>
            </w:r>
          </w:p>
        </w:tc>
      </w:tr>
      <w:tr w:rsidR="00EE4ECE" w:rsidRPr="00934550" w14:paraId="118FE3BB" w14:textId="77777777" w:rsidTr="00302B4E">
        <w:tc>
          <w:tcPr>
            <w:tcW w:w="3681" w:type="dxa"/>
            <w:hideMark/>
          </w:tcPr>
          <w:p w14:paraId="2695EF2A" w14:textId="1B7118EC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Multa por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ltrapassagem</w:t>
            </w:r>
          </w:p>
        </w:tc>
        <w:tc>
          <w:tcPr>
            <w:tcW w:w="4819" w:type="dxa"/>
            <w:hideMark/>
          </w:tcPr>
          <w:p w14:paraId="6104D5EE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Não há</w:t>
            </w:r>
          </w:p>
        </w:tc>
      </w:tr>
      <w:tr w:rsidR="00EE4ECE" w:rsidRPr="00934550" w14:paraId="6E5549D8" w14:textId="77777777" w:rsidTr="00302B4E">
        <w:tc>
          <w:tcPr>
            <w:tcW w:w="3681" w:type="dxa"/>
            <w:hideMark/>
          </w:tcPr>
          <w:p w14:paraId="58202F5C" w14:textId="12949746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Tarifa de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emanda</w:t>
            </w:r>
          </w:p>
        </w:tc>
        <w:tc>
          <w:tcPr>
            <w:tcW w:w="4819" w:type="dxa"/>
            <w:hideMark/>
          </w:tcPr>
          <w:p w14:paraId="65C5BFA0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R$ 29,07/kW</w:t>
            </w:r>
          </w:p>
        </w:tc>
      </w:tr>
      <w:tr w:rsidR="00EE4ECE" w:rsidRPr="00934550" w14:paraId="3181F944" w14:textId="77777777" w:rsidTr="00302B4E">
        <w:tc>
          <w:tcPr>
            <w:tcW w:w="3681" w:type="dxa"/>
            <w:hideMark/>
          </w:tcPr>
          <w:p w14:paraId="58FED2D0" w14:textId="1ED96958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Cobrança de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 xml:space="preserve">emanda no </w:t>
            </w:r>
            <w:r w:rsidR="002A426C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ês</w:t>
            </w:r>
          </w:p>
        </w:tc>
        <w:tc>
          <w:tcPr>
            <w:tcW w:w="4819" w:type="dxa"/>
            <w:hideMark/>
          </w:tcPr>
          <w:p w14:paraId="42EA4C68" w14:textId="77777777" w:rsidR="00EE4ECE" w:rsidRPr="002A426C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426C">
              <w:rPr>
                <w:rFonts w:ascii="Times New Roman" w:hAnsi="Times New Roman" w:cs="Times New Roman"/>
                <w:sz w:val="20"/>
                <w:szCs w:val="20"/>
              </w:rPr>
              <w:t>5.000 kW × R$ 29,07 = R$ 145.350,00</w:t>
            </w:r>
          </w:p>
        </w:tc>
      </w:tr>
    </w:tbl>
    <w:p w14:paraId="6244641E" w14:textId="48749E51" w:rsidR="00EE4ECE" w:rsidRDefault="00EE4ECE" w:rsidP="007D32F5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62992">
        <w:rPr>
          <w:rFonts w:ascii="Times New Roman" w:hAnsi="Times New Roman" w:cs="Times New Roman"/>
          <w:sz w:val="20"/>
          <w:szCs w:val="20"/>
        </w:rPr>
        <w:t xml:space="preserve">Fonte: O </w:t>
      </w:r>
      <w:r w:rsidR="00962992">
        <w:rPr>
          <w:rFonts w:ascii="Times New Roman" w:hAnsi="Times New Roman" w:cs="Times New Roman"/>
          <w:sz w:val="20"/>
          <w:szCs w:val="20"/>
        </w:rPr>
        <w:t>a</w:t>
      </w:r>
      <w:r w:rsidRPr="00962992">
        <w:rPr>
          <w:rFonts w:ascii="Times New Roman" w:hAnsi="Times New Roman" w:cs="Times New Roman"/>
          <w:sz w:val="20"/>
          <w:szCs w:val="20"/>
        </w:rPr>
        <w:t>utor</w:t>
      </w:r>
      <w:r w:rsidR="007E390C">
        <w:rPr>
          <w:rFonts w:ascii="Times New Roman" w:hAnsi="Times New Roman" w:cs="Times New Roman"/>
          <w:sz w:val="20"/>
          <w:szCs w:val="20"/>
        </w:rPr>
        <w:t xml:space="preserve"> </w:t>
      </w:r>
      <w:r w:rsidR="00504CA7">
        <w:rPr>
          <w:rFonts w:ascii="Times New Roman" w:hAnsi="Times New Roman" w:cs="Times New Roman"/>
          <w:sz w:val="20"/>
          <w:szCs w:val="20"/>
        </w:rPr>
        <w:t>(</w:t>
      </w:r>
      <w:r w:rsidR="007E390C">
        <w:rPr>
          <w:rFonts w:ascii="Times New Roman" w:hAnsi="Times New Roman" w:cs="Times New Roman"/>
          <w:sz w:val="20"/>
          <w:szCs w:val="20"/>
        </w:rPr>
        <w:t>2025</w:t>
      </w:r>
      <w:r w:rsidR="00504CA7">
        <w:rPr>
          <w:rFonts w:ascii="Times New Roman" w:hAnsi="Times New Roman" w:cs="Times New Roman"/>
          <w:sz w:val="20"/>
          <w:szCs w:val="20"/>
        </w:rPr>
        <w:t>)</w:t>
      </w:r>
    </w:p>
    <w:p w14:paraId="19C28B89" w14:textId="77777777" w:rsidR="007E390C" w:rsidRDefault="007E390C" w:rsidP="007D32F5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4C1B880" w14:textId="53E7E48C" w:rsid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 tarifa de ultrapassagem, aplicada sobre o excedente da demanda que ultrapassa essa tolerância, corresponde a duas vezes o valor da </w:t>
      </w:r>
      <w:r w:rsidR="00962992">
        <w:rPr>
          <w:rFonts w:ascii="Times New Roman" w:hAnsi="Times New Roman" w:cs="Times New Roman"/>
          <w:sz w:val="24"/>
          <w:szCs w:val="24"/>
        </w:rPr>
        <w:t>t</w:t>
      </w:r>
      <w:r w:rsidRPr="00934550">
        <w:rPr>
          <w:rFonts w:ascii="Times New Roman" w:hAnsi="Times New Roman" w:cs="Times New Roman"/>
          <w:sz w:val="24"/>
          <w:szCs w:val="24"/>
        </w:rPr>
        <w:t xml:space="preserve">arifa de </w:t>
      </w:r>
      <w:r w:rsidR="00962992">
        <w:rPr>
          <w:rFonts w:ascii="Times New Roman" w:hAnsi="Times New Roman" w:cs="Times New Roman"/>
          <w:sz w:val="24"/>
          <w:szCs w:val="24"/>
        </w:rPr>
        <w:t>d</w:t>
      </w:r>
      <w:r w:rsidRPr="00934550">
        <w:rPr>
          <w:rFonts w:ascii="Times New Roman" w:hAnsi="Times New Roman" w:cs="Times New Roman"/>
          <w:sz w:val="24"/>
          <w:szCs w:val="24"/>
        </w:rPr>
        <w:t>emanda</w:t>
      </w:r>
      <w:r w:rsidR="00A83FA6">
        <w:rPr>
          <w:rFonts w:ascii="Times New Roman" w:hAnsi="Times New Roman" w:cs="Times New Roman"/>
          <w:sz w:val="24"/>
          <w:szCs w:val="24"/>
        </w:rPr>
        <w:t xml:space="preserve"> conforme mostrado no Quadro 3</w:t>
      </w:r>
      <w:r w:rsidRPr="00934550">
        <w:rPr>
          <w:rFonts w:ascii="Times New Roman" w:hAnsi="Times New Roman" w:cs="Times New Roman"/>
          <w:sz w:val="24"/>
          <w:szCs w:val="24"/>
        </w:rPr>
        <w:t xml:space="preserve">. A tabela de </w:t>
      </w:r>
      <w:r w:rsidR="00962992">
        <w:rPr>
          <w:rFonts w:ascii="Times New Roman" w:hAnsi="Times New Roman" w:cs="Times New Roman"/>
          <w:sz w:val="24"/>
          <w:szCs w:val="24"/>
        </w:rPr>
        <w:t>t</w:t>
      </w:r>
      <w:r w:rsidRPr="00934550">
        <w:rPr>
          <w:rFonts w:ascii="Times New Roman" w:hAnsi="Times New Roman" w:cs="Times New Roman"/>
          <w:sz w:val="24"/>
          <w:szCs w:val="24"/>
        </w:rPr>
        <w:t xml:space="preserve">arifas de </w:t>
      </w:r>
      <w:r w:rsidR="00962992">
        <w:rPr>
          <w:rFonts w:ascii="Times New Roman" w:hAnsi="Times New Roman" w:cs="Times New Roman"/>
          <w:sz w:val="24"/>
          <w:szCs w:val="24"/>
        </w:rPr>
        <w:t>e</w:t>
      </w:r>
      <w:r w:rsidRPr="00934550">
        <w:rPr>
          <w:rFonts w:ascii="Times New Roman" w:hAnsi="Times New Roman" w:cs="Times New Roman"/>
          <w:sz w:val="24"/>
          <w:szCs w:val="24"/>
        </w:rPr>
        <w:t xml:space="preserve">nergia </w:t>
      </w:r>
      <w:r w:rsidR="00962992">
        <w:rPr>
          <w:rFonts w:ascii="Times New Roman" w:hAnsi="Times New Roman" w:cs="Times New Roman"/>
          <w:sz w:val="24"/>
          <w:szCs w:val="24"/>
        </w:rPr>
        <w:t>e</w:t>
      </w:r>
      <w:r w:rsidRPr="00934550">
        <w:rPr>
          <w:rFonts w:ascii="Times New Roman" w:hAnsi="Times New Roman" w:cs="Times New Roman"/>
          <w:sz w:val="24"/>
          <w:szCs w:val="24"/>
        </w:rPr>
        <w:t xml:space="preserve">létrica </w:t>
      </w:r>
      <w:r w:rsidR="00962992">
        <w:rPr>
          <w:rFonts w:ascii="Times New Roman" w:hAnsi="Times New Roman" w:cs="Times New Roman"/>
          <w:sz w:val="24"/>
          <w:szCs w:val="24"/>
        </w:rPr>
        <w:t>g</w:t>
      </w:r>
      <w:r w:rsidRPr="00934550">
        <w:rPr>
          <w:rFonts w:ascii="Times New Roman" w:hAnsi="Times New Roman" w:cs="Times New Roman"/>
          <w:sz w:val="24"/>
          <w:szCs w:val="24"/>
        </w:rPr>
        <w:t>rupo A da Neoenergia Elektro (</w:t>
      </w:r>
      <w:r w:rsidR="00962992">
        <w:rPr>
          <w:rFonts w:ascii="Times New Roman" w:hAnsi="Times New Roman" w:cs="Times New Roman"/>
          <w:sz w:val="24"/>
          <w:szCs w:val="24"/>
        </w:rPr>
        <w:t>v</w:t>
      </w:r>
      <w:r w:rsidRPr="00934550">
        <w:rPr>
          <w:rFonts w:ascii="Times New Roman" w:hAnsi="Times New Roman" w:cs="Times New Roman"/>
          <w:sz w:val="24"/>
          <w:szCs w:val="24"/>
        </w:rPr>
        <w:t xml:space="preserve">igência: 27/08/2024 a 26/08/2025) para o </w:t>
      </w:r>
      <w:r w:rsidR="00962992">
        <w:rPr>
          <w:rFonts w:ascii="Times New Roman" w:hAnsi="Times New Roman" w:cs="Times New Roman"/>
          <w:sz w:val="24"/>
          <w:szCs w:val="24"/>
        </w:rPr>
        <w:t>s</w:t>
      </w:r>
      <w:r w:rsidRPr="00934550">
        <w:rPr>
          <w:rFonts w:ascii="Times New Roman" w:hAnsi="Times New Roman" w:cs="Times New Roman"/>
          <w:sz w:val="24"/>
          <w:szCs w:val="24"/>
        </w:rPr>
        <w:t xml:space="preserve">ubgrupo A4 na modalidade </w:t>
      </w:r>
      <w:r w:rsidR="00962992">
        <w:rPr>
          <w:rFonts w:ascii="Times New Roman" w:hAnsi="Times New Roman" w:cs="Times New Roman"/>
          <w:sz w:val="24"/>
          <w:szCs w:val="24"/>
        </w:rPr>
        <w:t>h</w:t>
      </w:r>
      <w:r w:rsidRPr="00934550">
        <w:rPr>
          <w:rFonts w:ascii="Times New Roman" w:hAnsi="Times New Roman" w:cs="Times New Roman"/>
          <w:sz w:val="24"/>
          <w:szCs w:val="24"/>
        </w:rPr>
        <w:t xml:space="preserve">orossazonal </w:t>
      </w:r>
      <w:r w:rsidR="00962992">
        <w:rPr>
          <w:rFonts w:ascii="Times New Roman" w:hAnsi="Times New Roman" w:cs="Times New Roman"/>
          <w:sz w:val="24"/>
          <w:szCs w:val="24"/>
        </w:rPr>
        <w:t>v</w:t>
      </w:r>
      <w:r w:rsidRPr="00934550">
        <w:rPr>
          <w:rFonts w:ascii="Times New Roman" w:hAnsi="Times New Roman" w:cs="Times New Roman"/>
          <w:sz w:val="24"/>
          <w:szCs w:val="24"/>
        </w:rPr>
        <w:t xml:space="preserve">erde, indica uma </w:t>
      </w:r>
      <w:r w:rsidR="00962992">
        <w:rPr>
          <w:rFonts w:ascii="Times New Roman" w:hAnsi="Times New Roman" w:cs="Times New Roman"/>
          <w:sz w:val="24"/>
          <w:szCs w:val="24"/>
        </w:rPr>
        <w:t>t</w:t>
      </w:r>
      <w:r w:rsidRPr="00934550">
        <w:rPr>
          <w:rFonts w:ascii="Times New Roman" w:hAnsi="Times New Roman" w:cs="Times New Roman"/>
          <w:sz w:val="24"/>
          <w:szCs w:val="24"/>
        </w:rPr>
        <w:t xml:space="preserve">arifa de </w:t>
      </w:r>
      <w:r w:rsidR="00962992">
        <w:rPr>
          <w:rFonts w:ascii="Times New Roman" w:hAnsi="Times New Roman" w:cs="Times New Roman"/>
          <w:sz w:val="24"/>
          <w:szCs w:val="24"/>
        </w:rPr>
        <w:t>d</w:t>
      </w:r>
      <w:r w:rsidRPr="00934550">
        <w:rPr>
          <w:rFonts w:ascii="Times New Roman" w:hAnsi="Times New Roman" w:cs="Times New Roman"/>
          <w:sz w:val="24"/>
          <w:szCs w:val="24"/>
        </w:rPr>
        <w:t xml:space="preserve">emanda </w:t>
      </w:r>
      <w:r w:rsidR="00962992">
        <w:rPr>
          <w:rFonts w:ascii="Times New Roman" w:hAnsi="Times New Roman" w:cs="Times New Roman"/>
          <w:sz w:val="24"/>
          <w:szCs w:val="24"/>
        </w:rPr>
        <w:t>a</w:t>
      </w:r>
      <w:r w:rsidRPr="00934550">
        <w:rPr>
          <w:rFonts w:ascii="Times New Roman" w:hAnsi="Times New Roman" w:cs="Times New Roman"/>
          <w:sz w:val="24"/>
          <w:szCs w:val="24"/>
        </w:rPr>
        <w:t xml:space="preserve">tiva de R$ 29,07/kW e uma </w:t>
      </w:r>
      <w:r w:rsidR="00962992">
        <w:rPr>
          <w:rFonts w:ascii="Times New Roman" w:hAnsi="Times New Roman" w:cs="Times New Roman"/>
          <w:sz w:val="24"/>
          <w:szCs w:val="24"/>
        </w:rPr>
        <w:t>t</w:t>
      </w:r>
      <w:r w:rsidRPr="00934550">
        <w:rPr>
          <w:rFonts w:ascii="Times New Roman" w:hAnsi="Times New Roman" w:cs="Times New Roman"/>
          <w:sz w:val="24"/>
          <w:szCs w:val="24"/>
        </w:rPr>
        <w:t xml:space="preserve">arifa de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>ltrapassagem de R$ 58,14/kW.</w:t>
      </w:r>
    </w:p>
    <w:p w14:paraId="4E1A0AB3" w14:textId="77777777" w:rsidR="0075246E" w:rsidRDefault="0075246E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6CFEC07" w14:textId="559B9E70" w:rsidR="00EE4ECE" w:rsidRPr="002659A9" w:rsidRDefault="00EE4ECE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659A9">
        <w:rPr>
          <w:rFonts w:ascii="Times New Roman" w:hAnsi="Times New Roman" w:cs="Times New Roman"/>
          <w:sz w:val="20"/>
          <w:szCs w:val="20"/>
        </w:rPr>
        <w:t xml:space="preserve">Quadro </w:t>
      </w:r>
      <w:r w:rsidR="008E0480">
        <w:rPr>
          <w:rFonts w:ascii="Times New Roman" w:hAnsi="Times New Roman" w:cs="Times New Roman"/>
          <w:sz w:val="20"/>
          <w:szCs w:val="20"/>
        </w:rPr>
        <w:t>3</w:t>
      </w:r>
      <w:r w:rsidRPr="002659A9">
        <w:rPr>
          <w:rFonts w:ascii="Times New Roman" w:hAnsi="Times New Roman" w:cs="Times New Roman"/>
          <w:sz w:val="20"/>
          <w:szCs w:val="20"/>
        </w:rPr>
        <w:t xml:space="preserve"> - Demanda </w:t>
      </w:r>
      <w:r w:rsidR="00962992" w:rsidRPr="002659A9">
        <w:rPr>
          <w:rFonts w:ascii="Times New Roman" w:hAnsi="Times New Roman" w:cs="Times New Roman"/>
          <w:sz w:val="20"/>
          <w:szCs w:val="20"/>
        </w:rPr>
        <w:t>m</w:t>
      </w:r>
      <w:r w:rsidRPr="002659A9">
        <w:rPr>
          <w:rFonts w:ascii="Times New Roman" w:hAnsi="Times New Roman" w:cs="Times New Roman"/>
          <w:sz w:val="20"/>
          <w:szCs w:val="20"/>
        </w:rPr>
        <w:t xml:space="preserve">edida com </w:t>
      </w:r>
      <w:r w:rsidR="00962992" w:rsidRPr="002659A9">
        <w:rPr>
          <w:rFonts w:ascii="Times New Roman" w:hAnsi="Times New Roman" w:cs="Times New Roman"/>
          <w:sz w:val="20"/>
          <w:szCs w:val="20"/>
        </w:rPr>
        <w:t>u</w:t>
      </w:r>
      <w:r w:rsidRPr="002659A9">
        <w:rPr>
          <w:rFonts w:ascii="Times New Roman" w:hAnsi="Times New Roman" w:cs="Times New Roman"/>
          <w:sz w:val="20"/>
          <w:szCs w:val="20"/>
        </w:rPr>
        <w:t xml:space="preserve">ltrapassagem de </w:t>
      </w:r>
      <w:r w:rsidR="00962992" w:rsidRPr="002659A9">
        <w:rPr>
          <w:rFonts w:ascii="Times New Roman" w:hAnsi="Times New Roman" w:cs="Times New Roman"/>
          <w:sz w:val="20"/>
          <w:szCs w:val="20"/>
        </w:rPr>
        <w:t>i</w:t>
      </w:r>
      <w:r w:rsidRPr="002659A9">
        <w:rPr>
          <w:rFonts w:ascii="Times New Roman" w:hAnsi="Times New Roman" w:cs="Times New Roman"/>
          <w:sz w:val="20"/>
          <w:szCs w:val="20"/>
        </w:rPr>
        <w:t>mportação</w:t>
      </w:r>
    </w:p>
    <w:tbl>
      <w:tblPr>
        <w:tblStyle w:val="Tabelacomgrade"/>
        <w:tblW w:w="8363" w:type="dxa"/>
        <w:tblInd w:w="137" w:type="dxa"/>
        <w:tblLook w:val="04A0" w:firstRow="1" w:lastRow="0" w:firstColumn="1" w:lastColumn="0" w:noHBand="0" w:noVBand="1"/>
      </w:tblPr>
      <w:tblGrid>
        <w:gridCol w:w="3260"/>
        <w:gridCol w:w="1843"/>
        <w:gridCol w:w="3260"/>
      </w:tblGrid>
      <w:tr w:rsidR="00EE4ECE" w:rsidRPr="00934550" w14:paraId="7EFD047D" w14:textId="77777777" w:rsidTr="001A515D">
        <w:tc>
          <w:tcPr>
            <w:tcW w:w="3260" w:type="dxa"/>
            <w:shd w:val="clear" w:color="auto" w:fill="F2F2F2" w:themeFill="background1" w:themeFillShade="F2"/>
            <w:vAlign w:val="center"/>
            <w:hideMark/>
          </w:tcPr>
          <w:p w14:paraId="319EA72E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  <w:hideMark/>
          </w:tcPr>
          <w:p w14:paraId="2E8052FF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Valor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  <w:hideMark/>
          </w:tcPr>
          <w:p w14:paraId="0BFCDED3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Cálculo</w:t>
            </w:r>
          </w:p>
        </w:tc>
      </w:tr>
      <w:tr w:rsidR="00EE4ECE" w:rsidRPr="00934550" w14:paraId="75416269" w14:textId="77777777" w:rsidTr="002A426C">
        <w:tc>
          <w:tcPr>
            <w:tcW w:w="3260" w:type="dxa"/>
            <w:vAlign w:val="center"/>
            <w:hideMark/>
          </w:tcPr>
          <w:p w14:paraId="4BA22652" w14:textId="7085BE58" w:rsidR="00EE4ECE" w:rsidRPr="00037978" w:rsidRDefault="00962992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Demanda contratada</w:t>
            </w:r>
          </w:p>
        </w:tc>
        <w:tc>
          <w:tcPr>
            <w:tcW w:w="1843" w:type="dxa"/>
            <w:vAlign w:val="center"/>
            <w:hideMark/>
          </w:tcPr>
          <w:p w14:paraId="26A4FBD2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5.000 kW</w:t>
            </w:r>
          </w:p>
        </w:tc>
        <w:tc>
          <w:tcPr>
            <w:tcW w:w="3260" w:type="dxa"/>
            <w:vAlign w:val="center"/>
            <w:hideMark/>
          </w:tcPr>
          <w:p w14:paraId="225D6D93" w14:textId="77777777" w:rsidR="00EE4ECE" w:rsidRPr="00037978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7978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EE4ECE" w:rsidRPr="00934550" w14:paraId="2DEC85FA" w14:textId="77777777" w:rsidTr="002A426C">
        <w:tc>
          <w:tcPr>
            <w:tcW w:w="3260" w:type="dxa"/>
            <w:vAlign w:val="center"/>
            <w:hideMark/>
          </w:tcPr>
          <w:p w14:paraId="68695752" w14:textId="2B41D2E0" w:rsidR="00EE4ECE" w:rsidRPr="00962992" w:rsidRDefault="00962992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Demanda medida</w:t>
            </w:r>
          </w:p>
        </w:tc>
        <w:tc>
          <w:tcPr>
            <w:tcW w:w="1843" w:type="dxa"/>
            <w:vAlign w:val="center"/>
            <w:hideMark/>
          </w:tcPr>
          <w:p w14:paraId="2C47C453" w14:textId="77777777" w:rsidR="00EE4ECE" w:rsidRPr="00962992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6.000 kW</w:t>
            </w:r>
          </w:p>
        </w:tc>
        <w:tc>
          <w:tcPr>
            <w:tcW w:w="3260" w:type="dxa"/>
            <w:vAlign w:val="center"/>
            <w:hideMark/>
          </w:tcPr>
          <w:p w14:paraId="58436E55" w14:textId="77777777" w:rsidR="00EE4ECE" w:rsidRPr="00962992" w:rsidRDefault="00EE4ECE" w:rsidP="008B09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EE4ECE" w:rsidRPr="00934550" w14:paraId="298581B5" w14:textId="77777777" w:rsidTr="002A426C">
        <w:tc>
          <w:tcPr>
            <w:tcW w:w="3260" w:type="dxa"/>
            <w:vAlign w:val="center"/>
            <w:hideMark/>
          </w:tcPr>
          <w:p w14:paraId="65DC8C27" w14:textId="578F12A2" w:rsidR="00EE4ECE" w:rsidRPr="00962992" w:rsidRDefault="00962992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Ultrapassagem de demanda</w:t>
            </w:r>
          </w:p>
        </w:tc>
        <w:tc>
          <w:tcPr>
            <w:tcW w:w="1843" w:type="dxa"/>
            <w:vAlign w:val="center"/>
            <w:hideMark/>
          </w:tcPr>
          <w:p w14:paraId="58F9A72F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1.000 kW</w:t>
            </w:r>
          </w:p>
        </w:tc>
        <w:tc>
          <w:tcPr>
            <w:tcW w:w="3260" w:type="dxa"/>
            <w:vAlign w:val="center"/>
            <w:hideMark/>
          </w:tcPr>
          <w:p w14:paraId="7C8F88F1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6.000 kW - 5.000 kW</w:t>
            </w:r>
          </w:p>
        </w:tc>
      </w:tr>
      <w:tr w:rsidR="00EE4ECE" w:rsidRPr="00934550" w14:paraId="0D26218C" w14:textId="77777777" w:rsidTr="002A426C">
        <w:tc>
          <w:tcPr>
            <w:tcW w:w="3260" w:type="dxa"/>
            <w:vAlign w:val="center"/>
            <w:hideMark/>
          </w:tcPr>
          <w:p w14:paraId="01CDD5D9" w14:textId="4728A3CD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Tarifa de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ltrapassagem</w:t>
            </w:r>
          </w:p>
        </w:tc>
        <w:tc>
          <w:tcPr>
            <w:tcW w:w="1843" w:type="dxa"/>
            <w:vAlign w:val="center"/>
            <w:hideMark/>
          </w:tcPr>
          <w:p w14:paraId="5091982F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R$ 58,14 / kW</w:t>
            </w:r>
          </w:p>
        </w:tc>
        <w:tc>
          <w:tcPr>
            <w:tcW w:w="3260" w:type="dxa"/>
            <w:vAlign w:val="center"/>
            <w:hideMark/>
          </w:tcPr>
          <w:p w14:paraId="7C881F4F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EE4ECE" w:rsidRPr="00934550" w14:paraId="309D8521" w14:textId="77777777" w:rsidTr="002A426C">
        <w:tc>
          <w:tcPr>
            <w:tcW w:w="3260" w:type="dxa"/>
            <w:vAlign w:val="center"/>
            <w:hideMark/>
          </w:tcPr>
          <w:p w14:paraId="0AE1B77A" w14:textId="6EB809A5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Multa por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ltrapassagem</w:t>
            </w:r>
          </w:p>
        </w:tc>
        <w:tc>
          <w:tcPr>
            <w:tcW w:w="1843" w:type="dxa"/>
            <w:vAlign w:val="center"/>
            <w:hideMark/>
          </w:tcPr>
          <w:p w14:paraId="10487EF7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R$ 58.140,00</w:t>
            </w:r>
          </w:p>
        </w:tc>
        <w:tc>
          <w:tcPr>
            <w:tcW w:w="3260" w:type="dxa"/>
            <w:vAlign w:val="center"/>
            <w:hideMark/>
          </w:tcPr>
          <w:p w14:paraId="483B93AF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1.000 kW × R$ 58,14/kW</w:t>
            </w:r>
          </w:p>
        </w:tc>
      </w:tr>
      <w:tr w:rsidR="00EE4ECE" w:rsidRPr="00934550" w14:paraId="533E3301" w14:textId="77777777" w:rsidTr="002A426C">
        <w:tc>
          <w:tcPr>
            <w:tcW w:w="3260" w:type="dxa"/>
            <w:vAlign w:val="center"/>
            <w:hideMark/>
          </w:tcPr>
          <w:p w14:paraId="260913B0" w14:textId="6A5BE0A8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Tarifa de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emanda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ontratada</w:t>
            </w:r>
          </w:p>
        </w:tc>
        <w:tc>
          <w:tcPr>
            <w:tcW w:w="1843" w:type="dxa"/>
            <w:vAlign w:val="center"/>
            <w:hideMark/>
          </w:tcPr>
          <w:p w14:paraId="45451277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R$ 29,07 / kW</w:t>
            </w:r>
          </w:p>
        </w:tc>
        <w:tc>
          <w:tcPr>
            <w:tcW w:w="3260" w:type="dxa"/>
            <w:vAlign w:val="center"/>
            <w:hideMark/>
          </w:tcPr>
          <w:p w14:paraId="05E23CAB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EE4ECE" w:rsidRPr="00934550" w14:paraId="611C8E2D" w14:textId="77777777" w:rsidTr="002A426C">
        <w:tc>
          <w:tcPr>
            <w:tcW w:w="3260" w:type="dxa"/>
            <w:vAlign w:val="center"/>
            <w:hideMark/>
          </w:tcPr>
          <w:p w14:paraId="143780C3" w14:textId="19252DFA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Cobrança da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emanda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ontratada</w:t>
            </w:r>
          </w:p>
        </w:tc>
        <w:tc>
          <w:tcPr>
            <w:tcW w:w="1843" w:type="dxa"/>
            <w:vAlign w:val="center"/>
            <w:hideMark/>
          </w:tcPr>
          <w:p w14:paraId="305372B0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R$ 145.350,00</w:t>
            </w:r>
          </w:p>
        </w:tc>
        <w:tc>
          <w:tcPr>
            <w:tcW w:w="3260" w:type="dxa"/>
            <w:vAlign w:val="center"/>
            <w:hideMark/>
          </w:tcPr>
          <w:p w14:paraId="0C63861C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5.000 kW × R$ 29,07/kW</w:t>
            </w:r>
          </w:p>
        </w:tc>
      </w:tr>
      <w:tr w:rsidR="00EE4ECE" w:rsidRPr="00934550" w14:paraId="5BF33948" w14:textId="77777777" w:rsidTr="002A426C">
        <w:tc>
          <w:tcPr>
            <w:tcW w:w="3260" w:type="dxa"/>
            <w:vAlign w:val="center"/>
            <w:hideMark/>
          </w:tcPr>
          <w:p w14:paraId="1F87426B" w14:textId="29DEF441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Total da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 xml:space="preserve">obrança no </w:t>
            </w:r>
            <w:r w:rsidR="00962992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ês</w:t>
            </w:r>
          </w:p>
        </w:tc>
        <w:tc>
          <w:tcPr>
            <w:tcW w:w="1843" w:type="dxa"/>
            <w:vAlign w:val="center"/>
            <w:hideMark/>
          </w:tcPr>
          <w:p w14:paraId="230BD632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R$ 203.490,00</w:t>
            </w:r>
          </w:p>
        </w:tc>
        <w:tc>
          <w:tcPr>
            <w:tcW w:w="3260" w:type="dxa"/>
            <w:vAlign w:val="center"/>
            <w:hideMark/>
          </w:tcPr>
          <w:p w14:paraId="1824EF0B" w14:textId="77777777" w:rsidR="00EE4ECE" w:rsidRPr="00962992" w:rsidRDefault="00EE4ECE" w:rsidP="002A42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2992">
              <w:rPr>
                <w:rFonts w:ascii="Times New Roman" w:hAnsi="Times New Roman" w:cs="Times New Roman"/>
                <w:sz w:val="20"/>
                <w:szCs w:val="20"/>
              </w:rPr>
              <w:t>R$ 145.350,00 + R$ 58.140,00</w:t>
            </w:r>
          </w:p>
        </w:tc>
      </w:tr>
    </w:tbl>
    <w:p w14:paraId="1CE97984" w14:textId="3CEA6A02" w:rsidR="00EE4ECE" w:rsidRDefault="00EE4ECE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62992">
        <w:rPr>
          <w:rFonts w:ascii="Times New Roman" w:hAnsi="Times New Roman" w:cs="Times New Roman"/>
          <w:sz w:val="20"/>
          <w:szCs w:val="20"/>
        </w:rPr>
        <w:t xml:space="preserve">Fonte: O </w:t>
      </w:r>
      <w:r w:rsidR="00962992" w:rsidRPr="00962992">
        <w:rPr>
          <w:rFonts w:ascii="Times New Roman" w:hAnsi="Times New Roman" w:cs="Times New Roman"/>
          <w:sz w:val="20"/>
          <w:szCs w:val="20"/>
        </w:rPr>
        <w:t>a</w:t>
      </w:r>
      <w:r w:rsidRPr="00962992">
        <w:rPr>
          <w:rFonts w:ascii="Times New Roman" w:hAnsi="Times New Roman" w:cs="Times New Roman"/>
          <w:sz w:val="20"/>
          <w:szCs w:val="20"/>
        </w:rPr>
        <w:t>utor</w:t>
      </w:r>
      <w:r w:rsidR="007E390C">
        <w:rPr>
          <w:rFonts w:ascii="Times New Roman" w:hAnsi="Times New Roman" w:cs="Times New Roman"/>
          <w:sz w:val="20"/>
          <w:szCs w:val="20"/>
        </w:rPr>
        <w:t xml:space="preserve"> </w:t>
      </w:r>
      <w:r w:rsidR="00504CA7">
        <w:rPr>
          <w:rFonts w:ascii="Times New Roman" w:hAnsi="Times New Roman" w:cs="Times New Roman"/>
          <w:sz w:val="20"/>
          <w:szCs w:val="20"/>
        </w:rPr>
        <w:t>(</w:t>
      </w:r>
      <w:r w:rsidR="007E390C">
        <w:rPr>
          <w:rFonts w:ascii="Times New Roman" w:hAnsi="Times New Roman" w:cs="Times New Roman"/>
          <w:sz w:val="20"/>
          <w:szCs w:val="20"/>
        </w:rPr>
        <w:t>2025</w:t>
      </w:r>
      <w:r w:rsidR="00504CA7">
        <w:rPr>
          <w:rFonts w:ascii="Times New Roman" w:hAnsi="Times New Roman" w:cs="Times New Roman"/>
          <w:sz w:val="20"/>
          <w:szCs w:val="20"/>
        </w:rPr>
        <w:t>)</w:t>
      </w:r>
    </w:p>
    <w:p w14:paraId="28C36038" w14:textId="77777777" w:rsidR="00ED183E" w:rsidRPr="007D32F5" w:rsidRDefault="00ED183E" w:rsidP="00AF69A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E7882E" w14:textId="0B350567" w:rsidR="00EE4ECE" w:rsidRPr="00934550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t xml:space="preserve">5.2.2. Implicações da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934550">
        <w:rPr>
          <w:rFonts w:ascii="Times New Roman" w:hAnsi="Times New Roman" w:cs="Times New Roman"/>
          <w:b/>
          <w:bCs/>
          <w:sz w:val="24"/>
          <w:szCs w:val="24"/>
        </w:rPr>
        <w:t xml:space="preserve">ltrapassagem da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934550">
        <w:rPr>
          <w:rFonts w:ascii="Times New Roman" w:hAnsi="Times New Roman" w:cs="Times New Roman"/>
          <w:b/>
          <w:bCs/>
          <w:sz w:val="24"/>
          <w:szCs w:val="24"/>
        </w:rPr>
        <w:t xml:space="preserve">emanda de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34550">
        <w:rPr>
          <w:rFonts w:ascii="Times New Roman" w:hAnsi="Times New Roman" w:cs="Times New Roman"/>
          <w:b/>
          <w:bCs/>
          <w:sz w:val="24"/>
          <w:szCs w:val="24"/>
        </w:rPr>
        <w:t>xportação (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934550">
        <w:rPr>
          <w:rFonts w:ascii="Times New Roman" w:hAnsi="Times New Roman" w:cs="Times New Roman"/>
          <w:b/>
          <w:bCs/>
          <w:sz w:val="24"/>
          <w:szCs w:val="24"/>
        </w:rPr>
        <w:t xml:space="preserve">njeção na </w:t>
      </w:r>
      <w:r w:rsidR="00962992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934550">
        <w:rPr>
          <w:rFonts w:ascii="Times New Roman" w:hAnsi="Times New Roman" w:cs="Times New Roman"/>
          <w:b/>
          <w:bCs/>
          <w:sz w:val="24"/>
          <w:szCs w:val="24"/>
        </w:rPr>
        <w:t>ede)</w:t>
      </w:r>
    </w:p>
    <w:p w14:paraId="246034A3" w14:textId="28D2006F" w:rsidR="00EE4ECE" w:rsidRPr="00934550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 dinâmica de injeção de energia da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João, com volumes entre 8 MWh e 11,5 MWh, próximos ao limite contratual de 12 MW, exige uma análise diferenciada das penalidades. Para </w:t>
      </w:r>
      <w:r w:rsidR="00962992">
        <w:rPr>
          <w:rFonts w:ascii="Times New Roman" w:hAnsi="Times New Roman" w:cs="Times New Roman"/>
          <w:sz w:val="24"/>
          <w:szCs w:val="24"/>
        </w:rPr>
        <w:t>a</w:t>
      </w:r>
      <w:r w:rsidRPr="00934550">
        <w:rPr>
          <w:rFonts w:ascii="Times New Roman" w:hAnsi="Times New Roman" w:cs="Times New Roman"/>
          <w:sz w:val="24"/>
          <w:szCs w:val="24"/>
        </w:rPr>
        <w:t xml:space="preserve">utoprodutores de </w:t>
      </w:r>
      <w:r w:rsidR="00962992">
        <w:rPr>
          <w:rFonts w:ascii="Times New Roman" w:hAnsi="Times New Roman" w:cs="Times New Roman"/>
          <w:sz w:val="24"/>
          <w:szCs w:val="24"/>
        </w:rPr>
        <w:t>e</w:t>
      </w:r>
      <w:r w:rsidRPr="00934550">
        <w:rPr>
          <w:rFonts w:ascii="Times New Roman" w:hAnsi="Times New Roman" w:cs="Times New Roman"/>
          <w:sz w:val="24"/>
          <w:szCs w:val="24"/>
        </w:rPr>
        <w:t xml:space="preserve">nergia (APE) como a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João, as regras são estabelecidas por um </w:t>
      </w:r>
      <w:r w:rsidR="00962992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ontrato de </w:t>
      </w:r>
      <w:r w:rsidR="00962992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so do </w:t>
      </w:r>
      <w:r w:rsidR="00962992">
        <w:rPr>
          <w:rFonts w:ascii="Times New Roman" w:hAnsi="Times New Roman" w:cs="Times New Roman"/>
          <w:sz w:val="24"/>
          <w:szCs w:val="24"/>
        </w:rPr>
        <w:t>s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istema de </w:t>
      </w:r>
      <w:r w:rsidR="00962992">
        <w:rPr>
          <w:rFonts w:ascii="Times New Roman" w:hAnsi="Times New Roman" w:cs="Times New Roman"/>
          <w:sz w:val="24"/>
          <w:szCs w:val="24"/>
        </w:rPr>
        <w:t>d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istribuição (CUSD) firmado com 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934550">
        <w:rPr>
          <w:rFonts w:ascii="Times New Roman" w:hAnsi="Times New Roman" w:cs="Times New Roman"/>
          <w:sz w:val="24"/>
          <w:szCs w:val="24"/>
        </w:rPr>
        <w:t>. Este contrato define as condições de acesso, o uso da rede e as responsabilidades de ambas as partes.</w:t>
      </w:r>
    </w:p>
    <w:p w14:paraId="19D02895" w14:textId="522616B7" w:rsidR="00EE4ECE" w:rsidRPr="00934550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O MUSD contratado para geração é uma demanda única de 12.000 kW, sem diferenciação entre períodos de ponta e fora de ponta. Diferente da demanda de consumo, não existe uma tarifa de ultrapassagem triplicada para a injeção. A ultrapassagem da demanda de injeção contratada é tratada, sobretudo, como um descumprimento contratual. Embora a </w:t>
      </w:r>
      <w:r w:rsidRPr="00934550">
        <w:rPr>
          <w:rFonts w:ascii="Times New Roman" w:hAnsi="Times New Roman" w:cs="Times New Roman"/>
          <w:sz w:val="24"/>
          <w:szCs w:val="24"/>
        </w:rPr>
        <w:lastRenderedPageBreak/>
        <w:t xml:space="preserve">REN ANEEL nº 1.000/2021 preveja a contratação separada de </w:t>
      </w:r>
      <w:r w:rsidR="002A426C">
        <w:rPr>
          <w:rFonts w:ascii="Times New Roman" w:hAnsi="Times New Roman" w:cs="Times New Roman"/>
          <w:sz w:val="24"/>
          <w:szCs w:val="24"/>
        </w:rPr>
        <w:t>m</w:t>
      </w:r>
      <w:r w:rsidRPr="00934550">
        <w:rPr>
          <w:rFonts w:ascii="Times New Roman" w:hAnsi="Times New Roman" w:cs="Times New Roman"/>
          <w:sz w:val="24"/>
          <w:szCs w:val="24"/>
        </w:rPr>
        <w:t xml:space="preserve">ontante de </w:t>
      </w:r>
      <w:r w:rsidR="002A426C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so do </w:t>
      </w:r>
      <w:r w:rsidR="002A426C">
        <w:rPr>
          <w:rFonts w:ascii="Times New Roman" w:hAnsi="Times New Roman" w:cs="Times New Roman"/>
          <w:sz w:val="24"/>
          <w:szCs w:val="24"/>
        </w:rPr>
        <w:t>s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istema de </w:t>
      </w:r>
      <w:r w:rsidR="002A426C">
        <w:rPr>
          <w:rFonts w:ascii="Times New Roman" w:hAnsi="Times New Roman" w:cs="Times New Roman"/>
          <w:sz w:val="24"/>
          <w:szCs w:val="24"/>
        </w:rPr>
        <w:t>d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istribuição (MUSD) para geração, a tolerância para a ultrapassagem da demanda de injeção é consideravelmente menor, geralmente 1%. Para a </w:t>
      </w:r>
      <w:r w:rsidR="002A426C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João, isso significa uma tolerância de 120 kW (1% de 12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34550">
        <w:rPr>
          <w:rFonts w:ascii="Times New Roman" w:hAnsi="Times New Roman" w:cs="Times New Roman"/>
          <w:sz w:val="24"/>
          <w:szCs w:val="24"/>
        </w:rPr>
        <w:t>W), com o limite tolerado atingindo 12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34550">
        <w:rPr>
          <w:rFonts w:ascii="Times New Roman" w:hAnsi="Times New Roman" w:cs="Times New Roman"/>
          <w:sz w:val="24"/>
          <w:szCs w:val="24"/>
        </w:rPr>
        <w:t xml:space="preserve">12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34550">
        <w:rPr>
          <w:rFonts w:ascii="Times New Roman" w:hAnsi="Times New Roman" w:cs="Times New Roman"/>
          <w:sz w:val="24"/>
          <w:szCs w:val="24"/>
        </w:rPr>
        <w:t>W.</w:t>
      </w:r>
    </w:p>
    <w:p w14:paraId="61B1AE06" w14:textId="26E2055C" w:rsidR="00EE4ECE" w:rsidRPr="00934550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>A penalidade por exceder a demanda de injeção estabelecida no CUSD é, geralmente, uma multa específica prevista no próprio contrato e alinhada às normas setoriais. Essa multa visa compensar a distribuidora por eventuais custos adicionais decorrentes de uma injeção não planejada ou excedente, que poderia afetar a estabilidade da rede, a qualidade da energia ou exigir investimentos em infraestrutura. A base de cálculo pode ser um valor fixo por kW ultrapassado ou uma porcentagem da demanda excedente aplicada sobre a TUSDG (</w:t>
      </w:r>
      <w:r w:rsidR="002A426C">
        <w:rPr>
          <w:rFonts w:ascii="Times New Roman" w:hAnsi="Times New Roman" w:cs="Times New Roman"/>
          <w:sz w:val="24"/>
          <w:szCs w:val="24"/>
        </w:rPr>
        <w:t>t</w:t>
      </w:r>
      <w:r w:rsidRPr="00934550">
        <w:rPr>
          <w:rFonts w:ascii="Times New Roman" w:hAnsi="Times New Roman" w:cs="Times New Roman"/>
          <w:sz w:val="24"/>
          <w:szCs w:val="24"/>
        </w:rPr>
        <w:t xml:space="preserve">arifa de </w:t>
      </w:r>
      <w:r w:rsidR="002A426C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so do </w:t>
      </w:r>
      <w:r w:rsidR="002A426C">
        <w:rPr>
          <w:rFonts w:ascii="Times New Roman" w:hAnsi="Times New Roman" w:cs="Times New Roman"/>
          <w:sz w:val="24"/>
          <w:szCs w:val="24"/>
        </w:rPr>
        <w:t>s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istema de </w:t>
      </w:r>
      <w:r w:rsidR="002A426C">
        <w:rPr>
          <w:rFonts w:ascii="Times New Roman" w:hAnsi="Times New Roman" w:cs="Times New Roman"/>
          <w:sz w:val="24"/>
          <w:szCs w:val="24"/>
        </w:rPr>
        <w:t>d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istribuição de </w:t>
      </w:r>
      <w:r w:rsidR="002A426C">
        <w:rPr>
          <w:rFonts w:ascii="Times New Roman" w:hAnsi="Times New Roman" w:cs="Times New Roman"/>
          <w:sz w:val="24"/>
          <w:szCs w:val="24"/>
        </w:rPr>
        <w:t>g</w:t>
      </w:r>
      <w:r w:rsidRPr="00934550">
        <w:rPr>
          <w:rFonts w:ascii="Times New Roman" w:hAnsi="Times New Roman" w:cs="Times New Roman"/>
          <w:sz w:val="24"/>
          <w:szCs w:val="24"/>
        </w:rPr>
        <w:t>eração), conforme a permissão da ANEEL nos termos contratuais.</w:t>
      </w:r>
    </w:p>
    <w:p w14:paraId="786E0A79" w14:textId="7D11B534" w:rsidR="00EE4ECE" w:rsidRDefault="00EE4ECE" w:rsidP="002A42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Para exemplificar como a multa aplicada é calculada, assumindo um cenário em que a Usina São João atinja 12,5 MW de exportação em um pico de geração, superando o limite contratual de 12 MW, </w:t>
      </w:r>
      <w:r w:rsidR="00A83FA6">
        <w:rPr>
          <w:rFonts w:ascii="Times New Roman" w:hAnsi="Times New Roman" w:cs="Times New Roman"/>
          <w:sz w:val="24"/>
          <w:szCs w:val="24"/>
        </w:rPr>
        <w:t>conforme mostra o Quadro 4.</w:t>
      </w:r>
    </w:p>
    <w:p w14:paraId="7823444B" w14:textId="77777777" w:rsidR="00ED183E" w:rsidRPr="00934550" w:rsidRDefault="00ED183E" w:rsidP="00AF69A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4AC2F" w14:textId="665CD8CD" w:rsidR="00EE4ECE" w:rsidRPr="008E0480" w:rsidRDefault="00EE4ECE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E0480">
        <w:rPr>
          <w:rFonts w:ascii="Times New Roman" w:hAnsi="Times New Roman" w:cs="Times New Roman"/>
          <w:sz w:val="20"/>
          <w:szCs w:val="20"/>
        </w:rPr>
        <w:t xml:space="preserve">Quadro </w:t>
      </w:r>
      <w:r w:rsidR="008E0480" w:rsidRPr="008E0480">
        <w:rPr>
          <w:rFonts w:ascii="Times New Roman" w:hAnsi="Times New Roman" w:cs="Times New Roman"/>
          <w:sz w:val="20"/>
          <w:szCs w:val="20"/>
        </w:rPr>
        <w:t>4</w:t>
      </w:r>
      <w:r w:rsidRPr="008E0480">
        <w:rPr>
          <w:rFonts w:ascii="Times New Roman" w:hAnsi="Times New Roman" w:cs="Times New Roman"/>
          <w:sz w:val="20"/>
          <w:szCs w:val="20"/>
        </w:rPr>
        <w:t xml:space="preserve"> - Demanda </w:t>
      </w:r>
      <w:r w:rsidR="002A426C" w:rsidRPr="008E0480">
        <w:rPr>
          <w:rFonts w:ascii="Times New Roman" w:hAnsi="Times New Roman" w:cs="Times New Roman"/>
          <w:sz w:val="20"/>
          <w:szCs w:val="20"/>
        </w:rPr>
        <w:t>m</w:t>
      </w:r>
      <w:r w:rsidRPr="008E0480">
        <w:rPr>
          <w:rFonts w:ascii="Times New Roman" w:hAnsi="Times New Roman" w:cs="Times New Roman"/>
          <w:sz w:val="20"/>
          <w:szCs w:val="20"/>
        </w:rPr>
        <w:t xml:space="preserve">edida com </w:t>
      </w:r>
      <w:r w:rsidR="002A426C" w:rsidRPr="008E0480">
        <w:rPr>
          <w:rFonts w:ascii="Times New Roman" w:hAnsi="Times New Roman" w:cs="Times New Roman"/>
          <w:sz w:val="20"/>
          <w:szCs w:val="20"/>
        </w:rPr>
        <w:t>u</w:t>
      </w:r>
      <w:r w:rsidRPr="008E0480">
        <w:rPr>
          <w:rFonts w:ascii="Times New Roman" w:hAnsi="Times New Roman" w:cs="Times New Roman"/>
          <w:sz w:val="20"/>
          <w:szCs w:val="20"/>
        </w:rPr>
        <w:t xml:space="preserve">ltrapassagem da </w:t>
      </w:r>
      <w:r w:rsidR="002A426C" w:rsidRPr="008E0480">
        <w:rPr>
          <w:rFonts w:ascii="Times New Roman" w:hAnsi="Times New Roman" w:cs="Times New Roman"/>
          <w:sz w:val="20"/>
          <w:szCs w:val="20"/>
        </w:rPr>
        <w:t>d</w:t>
      </w:r>
      <w:r w:rsidRPr="008E0480">
        <w:rPr>
          <w:rFonts w:ascii="Times New Roman" w:hAnsi="Times New Roman" w:cs="Times New Roman"/>
          <w:sz w:val="20"/>
          <w:szCs w:val="20"/>
        </w:rPr>
        <w:t xml:space="preserve">emanda de </w:t>
      </w:r>
      <w:r w:rsidR="002A426C" w:rsidRPr="008E0480">
        <w:rPr>
          <w:rFonts w:ascii="Times New Roman" w:hAnsi="Times New Roman" w:cs="Times New Roman"/>
          <w:sz w:val="20"/>
          <w:szCs w:val="20"/>
        </w:rPr>
        <w:t>e</w:t>
      </w:r>
      <w:r w:rsidRPr="008E0480">
        <w:rPr>
          <w:rFonts w:ascii="Times New Roman" w:hAnsi="Times New Roman" w:cs="Times New Roman"/>
          <w:sz w:val="20"/>
          <w:szCs w:val="20"/>
        </w:rPr>
        <w:t>xportação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314"/>
        <w:gridCol w:w="1926"/>
        <w:gridCol w:w="3260"/>
      </w:tblGrid>
      <w:tr w:rsidR="00EE4ECE" w:rsidRPr="005812E6" w14:paraId="50940D4B" w14:textId="77777777" w:rsidTr="001A515D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9E5406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926" w:type="dxa"/>
            <w:shd w:val="clear" w:color="auto" w:fill="F2F2F2" w:themeFill="background1" w:themeFillShade="F2"/>
            <w:vAlign w:val="center"/>
            <w:hideMark/>
          </w:tcPr>
          <w:p w14:paraId="1F0A58ED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Valor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  <w:hideMark/>
          </w:tcPr>
          <w:p w14:paraId="6B024167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Cálculo</w:t>
            </w:r>
          </w:p>
        </w:tc>
      </w:tr>
      <w:tr w:rsidR="00EE4ECE" w:rsidRPr="005812E6" w14:paraId="014E27D5" w14:textId="77777777" w:rsidTr="008B096D">
        <w:tc>
          <w:tcPr>
            <w:tcW w:w="0" w:type="auto"/>
            <w:vAlign w:val="center"/>
            <w:hideMark/>
          </w:tcPr>
          <w:p w14:paraId="5ACEE045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Demanda Contratada de Exportação</w:t>
            </w:r>
          </w:p>
        </w:tc>
        <w:tc>
          <w:tcPr>
            <w:tcW w:w="1926" w:type="dxa"/>
            <w:vAlign w:val="center"/>
            <w:hideMark/>
          </w:tcPr>
          <w:p w14:paraId="4D7E91BB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12.000 kW</w:t>
            </w:r>
          </w:p>
        </w:tc>
        <w:tc>
          <w:tcPr>
            <w:tcW w:w="3260" w:type="dxa"/>
            <w:vAlign w:val="center"/>
            <w:hideMark/>
          </w:tcPr>
          <w:p w14:paraId="0BA98489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EE4ECE" w:rsidRPr="005812E6" w14:paraId="07112CDE" w14:textId="77777777" w:rsidTr="008B096D">
        <w:tc>
          <w:tcPr>
            <w:tcW w:w="0" w:type="auto"/>
            <w:vAlign w:val="center"/>
            <w:hideMark/>
          </w:tcPr>
          <w:p w14:paraId="2E5AC25D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Limite de Tolerância (Isento de Multa)</w:t>
            </w:r>
          </w:p>
        </w:tc>
        <w:tc>
          <w:tcPr>
            <w:tcW w:w="1926" w:type="dxa"/>
            <w:vAlign w:val="center"/>
            <w:hideMark/>
          </w:tcPr>
          <w:p w14:paraId="6ADF3529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12.120 kW</w:t>
            </w:r>
          </w:p>
        </w:tc>
        <w:tc>
          <w:tcPr>
            <w:tcW w:w="3260" w:type="dxa"/>
            <w:vAlign w:val="center"/>
            <w:hideMark/>
          </w:tcPr>
          <w:p w14:paraId="10076743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(12.000 kW + 1%)</w:t>
            </w:r>
          </w:p>
        </w:tc>
      </w:tr>
      <w:tr w:rsidR="00EE4ECE" w:rsidRPr="005812E6" w14:paraId="4D502641" w14:textId="77777777" w:rsidTr="008B096D">
        <w:tc>
          <w:tcPr>
            <w:tcW w:w="0" w:type="auto"/>
            <w:vAlign w:val="center"/>
            <w:hideMark/>
          </w:tcPr>
          <w:p w14:paraId="38F2E49D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Demanda Medida de Exportação</w:t>
            </w:r>
          </w:p>
        </w:tc>
        <w:tc>
          <w:tcPr>
            <w:tcW w:w="1926" w:type="dxa"/>
            <w:vAlign w:val="center"/>
            <w:hideMark/>
          </w:tcPr>
          <w:p w14:paraId="59393C11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12.500 kW</w:t>
            </w:r>
          </w:p>
        </w:tc>
        <w:tc>
          <w:tcPr>
            <w:tcW w:w="3260" w:type="dxa"/>
            <w:vAlign w:val="center"/>
            <w:hideMark/>
          </w:tcPr>
          <w:p w14:paraId="03C23AA3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EE4ECE" w:rsidRPr="005812E6" w14:paraId="7D8740F2" w14:textId="77777777" w:rsidTr="008B096D">
        <w:tc>
          <w:tcPr>
            <w:tcW w:w="0" w:type="auto"/>
            <w:vAlign w:val="center"/>
            <w:hideMark/>
          </w:tcPr>
          <w:p w14:paraId="16D85772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Excedente Sujeito à Multa</w:t>
            </w:r>
          </w:p>
        </w:tc>
        <w:tc>
          <w:tcPr>
            <w:tcW w:w="1926" w:type="dxa"/>
            <w:vAlign w:val="center"/>
            <w:hideMark/>
          </w:tcPr>
          <w:p w14:paraId="049F5D00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380 kW</w:t>
            </w:r>
          </w:p>
        </w:tc>
        <w:tc>
          <w:tcPr>
            <w:tcW w:w="3260" w:type="dxa"/>
            <w:vAlign w:val="center"/>
            <w:hideMark/>
          </w:tcPr>
          <w:p w14:paraId="70BF7F65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12.500 kW - 12.120 kW</w:t>
            </w:r>
          </w:p>
        </w:tc>
      </w:tr>
      <w:tr w:rsidR="00EE4ECE" w:rsidRPr="005812E6" w14:paraId="6C1EB564" w14:textId="77777777" w:rsidTr="008B096D">
        <w:tc>
          <w:tcPr>
            <w:tcW w:w="0" w:type="auto"/>
            <w:vAlign w:val="center"/>
            <w:hideMark/>
          </w:tcPr>
          <w:p w14:paraId="48D37C79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Tarifa da Multa</w:t>
            </w:r>
          </w:p>
        </w:tc>
        <w:tc>
          <w:tcPr>
            <w:tcW w:w="1926" w:type="dxa"/>
            <w:vAlign w:val="center"/>
            <w:hideMark/>
          </w:tcPr>
          <w:p w14:paraId="745B11D5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R$ 29,07 / kW</w:t>
            </w:r>
          </w:p>
        </w:tc>
        <w:tc>
          <w:tcPr>
            <w:tcW w:w="3260" w:type="dxa"/>
            <w:vAlign w:val="center"/>
            <w:hideMark/>
          </w:tcPr>
          <w:p w14:paraId="64C81D73" w14:textId="75D07C6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 xml:space="preserve">(Valor Tarifa </w:t>
            </w:r>
            <w:r w:rsidR="004A3B75" w:rsidRPr="004A3B75">
              <w:rPr>
                <w:rFonts w:ascii="Times New Roman" w:hAnsi="Times New Roman" w:cs="Times New Roman"/>
                <w:sz w:val="20"/>
                <w:szCs w:val="20"/>
              </w:rPr>
              <w:t>Neoenergia Elektro</w:t>
            </w: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E4ECE" w:rsidRPr="005812E6" w14:paraId="6574D384" w14:textId="77777777" w:rsidTr="008B096D">
        <w:tc>
          <w:tcPr>
            <w:tcW w:w="0" w:type="auto"/>
            <w:vAlign w:val="center"/>
            <w:hideMark/>
          </w:tcPr>
          <w:p w14:paraId="7121BDC1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Multa por Ultrapassagem</w:t>
            </w:r>
          </w:p>
        </w:tc>
        <w:tc>
          <w:tcPr>
            <w:tcW w:w="1926" w:type="dxa"/>
            <w:vAlign w:val="center"/>
            <w:hideMark/>
          </w:tcPr>
          <w:p w14:paraId="36797BD7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R$ 14.535,00</w:t>
            </w:r>
          </w:p>
        </w:tc>
        <w:tc>
          <w:tcPr>
            <w:tcW w:w="3260" w:type="dxa"/>
            <w:vAlign w:val="center"/>
            <w:hideMark/>
          </w:tcPr>
          <w:p w14:paraId="6D90C224" w14:textId="77777777" w:rsidR="00EE4ECE" w:rsidRPr="008B096D" w:rsidRDefault="00EE4ECE" w:rsidP="008B09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096D">
              <w:rPr>
                <w:rFonts w:ascii="Times New Roman" w:hAnsi="Times New Roman" w:cs="Times New Roman"/>
                <w:sz w:val="20"/>
                <w:szCs w:val="20"/>
              </w:rPr>
              <w:t>500 kW × R$ 29,07/kW</w:t>
            </w:r>
          </w:p>
        </w:tc>
      </w:tr>
    </w:tbl>
    <w:p w14:paraId="4DE35348" w14:textId="07F1ADBD" w:rsidR="00EE4ECE" w:rsidRDefault="00EE4ECE" w:rsidP="008B096D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A426C">
        <w:rPr>
          <w:rFonts w:ascii="Times New Roman" w:hAnsi="Times New Roman" w:cs="Times New Roman"/>
          <w:sz w:val="20"/>
          <w:szCs w:val="20"/>
        </w:rPr>
        <w:t xml:space="preserve">Fonte: O </w:t>
      </w:r>
      <w:r w:rsidR="002A426C" w:rsidRPr="002A426C">
        <w:rPr>
          <w:rFonts w:ascii="Times New Roman" w:hAnsi="Times New Roman" w:cs="Times New Roman"/>
          <w:sz w:val="20"/>
          <w:szCs w:val="20"/>
        </w:rPr>
        <w:t>a</w:t>
      </w:r>
      <w:r w:rsidRPr="002A426C">
        <w:rPr>
          <w:rFonts w:ascii="Times New Roman" w:hAnsi="Times New Roman" w:cs="Times New Roman"/>
          <w:sz w:val="20"/>
          <w:szCs w:val="20"/>
        </w:rPr>
        <w:t>utor</w:t>
      </w:r>
      <w:r w:rsidR="007E390C">
        <w:rPr>
          <w:rFonts w:ascii="Times New Roman" w:hAnsi="Times New Roman" w:cs="Times New Roman"/>
          <w:sz w:val="20"/>
          <w:szCs w:val="20"/>
        </w:rPr>
        <w:t xml:space="preserve"> </w:t>
      </w:r>
      <w:r w:rsidR="00504CA7">
        <w:rPr>
          <w:rFonts w:ascii="Times New Roman" w:hAnsi="Times New Roman" w:cs="Times New Roman"/>
          <w:sz w:val="20"/>
          <w:szCs w:val="20"/>
        </w:rPr>
        <w:t>(</w:t>
      </w:r>
      <w:r w:rsidR="007E390C">
        <w:rPr>
          <w:rFonts w:ascii="Times New Roman" w:hAnsi="Times New Roman" w:cs="Times New Roman"/>
          <w:sz w:val="20"/>
          <w:szCs w:val="20"/>
        </w:rPr>
        <w:t>2025</w:t>
      </w:r>
      <w:r w:rsidR="00504CA7">
        <w:rPr>
          <w:rFonts w:ascii="Times New Roman" w:hAnsi="Times New Roman" w:cs="Times New Roman"/>
          <w:sz w:val="20"/>
          <w:szCs w:val="20"/>
        </w:rPr>
        <w:t>)</w:t>
      </w:r>
    </w:p>
    <w:p w14:paraId="2676C829" w14:textId="77777777" w:rsidR="00ED183E" w:rsidRPr="007D32F5" w:rsidRDefault="00ED183E" w:rsidP="00AF69A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FED350" w14:textId="77777777" w:rsidR="00EE4ECE" w:rsidRPr="00934550" w:rsidRDefault="00EE4ECE" w:rsidP="008B09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>Caso o excedente da demanda ficar em 12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34550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934550">
        <w:rPr>
          <w:rFonts w:ascii="Times New Roman" w:hAnsi="Times New Roman" w:cs="Times New Roman"/>
          <w:sz w:val="24"/>
          <w:szCs w:val="24"/>
        </w:rPr>
        <w:t>W não haverá cobrança de multa.</w:t>
      </w:r>
    </w:p>
    <w:p w14:paraId="5EFD7BF4" w14:textId="3C70480B" w:rsidR="00EE4ECE" w:rsidRDefault="00EE4ECE" w:rsidP="008B096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É imperativo ressaltar que o valor exato e a metodologia de cálculo dessa multa estarão detalhados no CUSD da </w:t>
      </w:r>
      <w:r w:rsidR="00AD334F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 com 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934550">
        <w:rPr>
          <w:rFonts w:ascii="Times New Roman" w:hAnsi="Times New Roman" w:cs="Times New Roman"/>
          <w:sz w:val="24"/>
          <w:szCs w:val="24"/>
        </w:rPr>
        <w:t>.</w:t>
      </w:r>
    </w:p>
    <w:p w14:paraId="0049DEC0" w14:textId="77777777" w:rsidR="000506E1" w:rsidRDefault="000506E1" w:rsidP="008B09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91BF4" w14:textId="3D0EEA93" w:rsidR="00EE4ECE" w:rsidRPr="00155183" w:rsidRDefault="00EE4ECE" w:rsidP="008B096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Recomendações e </w:t>
      </w:r>
      <w:r w:rsidR="008B096D"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stratégias </w:t>
      </w:r>
      <w:r w:rsidR="008B096D"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reventivas para a </w:t>
      </w:r>
      <w:r w:rsidR="008B096D"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</w:t>
      </w:r>
      <w:r w:rsidRPr="001551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sina São João</w:t>
      </w:r>
    </w:p>
    <w:p w14:paraId="50023116" w14:textId="131D1AD1" w:rsidR="00EE4ECE" w:rsidRPr="00155183" w:rsidRDefault="00EE4ECE" w:rsidP="008B096D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Para mi</w:t>
      </w:r>
      <w:r w:rsidR="00F5085C">
        <w:rPr>
          <w:rFonts w:ascii="Times New Roman" w:hAnsi="Times New Roman" w:cs="Times New Roman"/>
          <w:color w:val="000000" w:themeColor="text1"/>
          <w:sz w:val="24"/>
          <w:szCs w:val="24"/>
        </w:rPr>
        <w:t>nimiz</w:t>
      </w: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 os riscos financeiros e operacionais associados às penalidades, a </w:t>
      </w:r>
      <w:r w:rsidR="008B096D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sina São João deve adotar uma abordagem estratégica e proativa:</w:t>
      </w:r>
    </w:p>
    <w:p w14:paraId="7F2203D6" w14:textId="3E3F37C5" w:rsidR="00EE4ECE" w:rsidRPr="00155183" w:rsidRDefault="00EE4ECE" w:rsidP="008B096D">
      <w:pPr>
        <w:numPr>
          <w:ilvl w:val="0"/>
          <w:numId w:val="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Monitoramento </w:t>
      </w:r>
      <w:r w:rsidR="00155183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nergético </w:t>
      </w:r>
      <w:r w:rsidR="00155183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igoroso: É fundamental implementar e utilizar sistemas de gestão de energia (EMS/SCADA) que permitam o acompanhamento em tempo real da demanda consumida e da potência injetada. Configurar alertas para notificar a equipe sobre a aproximação dos limites contratuais é crucial para ações preventivas.</w:t>
      </w:r>
    </w:p>
    <w:p w14:paraId="56FA29B1" w14:textId="7A0854EC" w:rsidR="00EE4ECE" w:rsidRPr="00AD334F" w:rsidRDefault="00EE4ECE" w:rsidP="00AD334F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Gestão </w:t>
      </w:r>
      <w:r w:rsidR="00155183"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tiva de </w:t>
      </w:r>
      <w:r w:rsidR="00155183"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argas e </w:t>
      </w:r>
      <w:r w:rsidR="00155183"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AD334F">
        <w:rPr>
          <w:rFonts w:ascii="Times New Roman" w:hAnsi="Times New Roman" w:cs="Times New Roman"/>
          <w:color w:val="000000" w:themeColor="text1"/>
          <w:sz w:val="24"/>
          <w:szCs w:val="24"/>
        </w:rPr>
        <w:t>eração, em que há duas possibilidades de atuação distintas:</w:t>
      </w:r>
    </w:p>
    <w:p w14:paraId="561E5C5E" w14:textId="438AA3FF" w:rsidR="00EE4ECE" w:rsidRPr="008B096D" w:rsidRDefault="00ED183E" w:rsidP="00ED183E">
      <w:pPr>
        <w:pStyle w:val="PargrafodaLista"/>
        <w:numPr>
          <w:ilvl w:val="1"/>
          <w:numId w:val="7"/>
        </w:numPr>
        <w:spacing w:after="0" w:line="360" w:lineRule="auto"/>
        <w:ind w:left="1049" w:hanging="369"/>
        <w:jc w:val="both"/>
        <w:rPr>
          <w:rFonts w:ascii="Times New Roman" w:hAnsi="Times New Roman" w:cs="Times New Roman"/>
          <w:sz w:val="24"/>
          <w:szCs w:val="24"/>
        </w:rPr>
      </w:pPr>
      <w:r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4ECE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Importação (</w:t>
      </w:r>
      <w:r w:rsidR="00155183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EE4ECE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ntressafra e </w:t>
      </w:r>
      <w:r w:rsidR="00155183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EE4ECE" w:rsidRPr="001551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esarmes): Desenvolver </w:t>
      </w:r>
      <w:r w:rsidR="00EE4ECE" w:rsidRPr="008B096D">
        <w:rPr>
          <w:rFonts w:ascii="Times New Roman" w:hAnsi="Times New Roman" w:cs="Times New Roman"/>
          <w:sz w:val="24"/>
          <w:szCs w:val="24"/>
        </w:rPr>
        <w:t>e aplicar estratégias de gerenciamento de carga para a entressafra, visando evitar picos de consumo. Em situações de desarme do gerador durante a safra, é vital ter protocolos claros para a rápida redução de cargas não essenciais e a prontidão</w:t>
      </w:r>
      <w:r w:rsidR="00F5085C">
        <w:rPr>
          <w:rFonts w:ascii="Times New Roman" w:hAnsi="Times New Roman" w:cs="Times New Roman"/>
          <w:sz w:val="24"/>
          <w:szCs w:val="24"/>
        </w:rPr>
        <w:t xml:space="preserve"> dos operadores </w:t>
      </w:r>
      <w:r w:rsidR="00EE4ECE" w:rsidRPr="008B096D">
        <w:rPr>
          <w:rFonts w:ascii="Times New Roman" w:hAnsi="Times New Roman" w:cs="Times New Roman"/>
          <w:sz w:val="24"/>
          <w:szCs w:val="24"/>
        </w:rPr>
        <w:t>para estabilizar o consumo.</w:t>
      </w:r>
    </w:p>
    <w:p w14:paraId="65CA5FA8" w14:textId="68FD67D7" w:rsidR="00EE4ECE" w:rsidRPr="00ED183E" w:rsidRDefault="00ED183E" w:rsidP="00ED183E">
      <w:pPr>
        <w:pStyle w:val="PargrafodaLista"/>
        <w:numPr>
          <w:ilvl w:val="1"/>
          <w:numId w:val="7"/>
        </w:numPr>
        <w:spacing w:after="0" w:line="360" w:lineRule="auto"/>
        <w:ind w:left="1049" w:hanging="3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4ECE" w:rsidRPr="00ED183E">
        <w:rPr>
          <w:rFonts w:ascii="Times New Roman" w:hAnsi="Times New Roman" w:cs="Times New Roman"/>
          <w:sz w:val="24"/>
          <w:szCs w:val="24"/>
        </w:rPr>
        <w:t>Exportação (</w:t>
      </w:r>
      <w:r w:rsidR="00155183">
        <w:rPr>
          <w:rFonts w:ascii="Times New Roman" w:hAnsi="Times New Roman" w:cs="Times New Roman"/>
          <w:sz w:val="24"/>
          <w:szCs w:val="24"/>
        </w:rPr>
        <w:t>s</w:t>
      </w:r>
      <w:r w:rsidR="00EE4ECE" w:rsidRPr="00ED183E">
        <w:rPr>
          <w:rFonts w:ascii="Times New Roman" w:hAnsi="Times New Roman" w:cs="Times New Roman"/>
          <w:sz w:val="24"/>
          <w:szCs w:val="24"/>
        </w:rPr>
        <w:t xml:space="preserve">afra): Manter um controle rigoroso para garantir que a injeção de energia permaneça dentro dos 12 MW contratados. Se a capacidade de geração for consistentemente superior, a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="00EE4ECE" w:rsidRPr="00ED183E">
        <w:rPr>
          <w:rFonts w:ascii="Times New Roman" w:hAnsi="Times New Roman" w:cs="Times New Roman"/>
          <w:sz w:val="24"/>
          <w:szCs w:val="24"/>
        </w:rPr>
        <w:t xml:space="preserve">sina deve avaliar a renegociação do CUSD com 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="00EE4ECE" w:rsidRPr="00ED183E">
        <w:rPr>
          <w:rFonts w:ascii="Times New Roman" w:hAnsi="Times New Roman" w:cs="Times New Roman"/>
          <w:sz w:val="24"/>
          <w:szCs w:val="24"/>
        </w:rPr>
        <w:t>, o que pode envolver estudos de conexão e potenciais investimentos na infraestrutura da rede.</w:t>
      </w:r>
    </w:p>
    <w:p w14:paraId="1FC4A43F" w14:textId="2F0298AD" w:rsidR="00EE4ECE" w:rsidRPr="00934550" w:rsidRDefault="00EE4ECE" w:rsidP="00ED183E">
      <w:pPr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Análise Contratual Profunda: A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deve realizar revisões periódicas e detalhadas de seu </w:t>
      </w:r>
      <w:r w:rsidR="00155183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ontrato de </w:t>
      </w:r>
      <w:r w:rsidR="00155183">
        <w:rPr>
          <w:rFonts w:ascii="Times New Roman" w:hAnsi="Times New Roman" w:cs="Times New Roman"/>
          <w:sz w:val="24"/>
          <w:szCs w:val="24"/>
        </w:rPr>
        <w:t>f</w:t>
      </w:r>
      <w:r w:rsidRPr="00934550">
        <w:rPr>
          <w:rFonts w:ascii="Times New Roman" w:hAnsi="Times New Roman" w:cs="Times New Roman"/>
          <w:sz w:val="24"/>
          <w:szCs w:val="24"/>
        </w:rPr>
        <w:t xml:space="preserve">ornecimento de </w:t>
      </w:r>
      <w:r w:rsidR="00155183">
        <w:rPr>
          <w:rFonts w:ascii="Times New Roman" w:hAnsi="Times New Roman" w:cs="Times New Roman"/>
          <w:sz w:val="24"/>
          <w:szCs w:val="24"/>
        </w:rPr>
        <w:t>e</w:t>
      </w:r>
      <w:r w:rsidRPr="00934550">
        <w:rPr>
          <w:rFonts w:ascii="Times New Roman" w:hAnsi="Times New Roman" w:cs="Times New Roman"/>
          <w:sz w:val="24"/>
          <w:szCs w:val="24"/>
        </w:rPr>
        <w:t xml:space="preserve">nergia (para importação) e de seu </w:t>
      </w:r>
      <w:r w:rsidR="00155183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ontrato de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so do </w:t>
      </w:r>
      <w:r w:rsidR="00155183">
        <w:rPr>
          <w:rFonts w:ascii="Times New Roman" w:hAnsi="Times New Roman" w:cs="Times New Roman"/>
          <w:sz w:val="24"/>
          <w:szCs w:val="24"/>
        </w:rPr>
        <w:t>s</w:t>
      </w:r>
      <w:r w:rsidRPr="00934550">
        <w:rPr>
          <w:rFonts w:ascii="Times New Roman" w:hAnsi="Times New Roman" w:cs="Times New Roman"/>
          <w:sz w:val="24"/>
          <w:szCs w:val="24"/>
        </w:rPr>
        <w:t xml:space="preserve">istema de </w:t>
      </w:r>
      <w:r w:rsidR="00155183">
        <w:rPr>
          <w:rFonts w:ascii="Times New Roman" w:hAnsi="Times New Roman" w:cs="Times New Roman"/>
          <w:sz w:val="24"/>
          <w:szCs w:val="24"/>
        </w:rPr>
        <w:t>d</w:t>
      </w:r>
      <w:r w:rsidRPr="00934550">
        <w:rPr>
          <w:rFonts w:ascii="Times New Roman" w:hAnsi="Times New Roman" w:cs="Times New Roman"/>
          <w:sz w:val="24"/>
          <w:szCs w:val="24"/>
        </w:rPr>
        <w:t>istribuição (CUSD) para a exportação. A compreensão exaustiva das cláusulas de penalidade, tolerância e das metodologias de cálculo de multas é um passo crucial para a segurança operacional e financeira.</w:t>
      </w:r>
    </w:p>
    <w:p w14:paraId="55DDD429" w14:textId="0EC671B7" w:rsidR="00EE4ECE" w:rsidRPr="00934550" w:rsidRDefault="00EE4ECE" w:rsidP="00ED183E">
      <w:pPr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Diálogo </w:t>
      </w:r>
      <w:r w:rsidR="00155183">
        <w:rPr>
          <w:rFonts w:ascii="Times New Roman" w:hAnsi="Times New Roman" w:cs="Times New Roman"/>
          <w:sz w:val="24"/>
          <w:szCs w:val="24"/>
        </w:rPr>
        <w:t>e</w:t>
      </w:r>
      <w:r w:rsidRPr="00934550">
        <w:rPr>
          <w:rFonts w:ascii="Times New Roman" w:hAnsi="Times New Roman" w:cs="Times New Roman"/>
          <w:sz w:val="24"/>
          <w:szCs w:val="24"/>
        </w:rPr>
        <w:t xml:space="preserve">stratégico com a </w:t>
      </w:r>
      <w:r w:rsidR="00155183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oncessionária: Manter um canal de comunicação aberto e proativo com 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934550">
        <w:rPr>
          <w:rFonts w:ascii="Times New Roman" w:hAnsi="Times New Roman" w:cs="Times New Roman"/>
          <w:sz w:val="24"/>
          <w:szCs w:val="24"/>
        </w:rPr>
        <w:t>. Informar sobre grandes variações operacionais planejadas e buscar soluções conjuntas para a otimização do uso da rede pode evitar surpresas e fortalecer a parceria estratégica.</w:t>
      </w:r>
    </w:p>
    <w:p w14:paraId="3A21097A" w14:textId="18FEF674" w:rsidR="00EE4ECE" w:rsidRDefault="00EE4ECE" w:rsidP="007D32F5">
      <w:pPr>
        <w:numPr>
          <w:ilvl w:val="0"/>
          <w:numId w:val="7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Acompanhamento </w:t>
      </w:r>
      <w:r w:rsidR="00155183">
        <w:rPr>
          <w:rFonts w:ascii="Times New Roman" w:hAnsi="Times New Roman" w:cs="Times New Roman"/>
          <w:sz w:val="24"/>
          <w:szCs w:val="24"/>
        </w:rPr>
        <w:t>r</w:t>
      </w:r>
      <w:r w:rsidRPr="00934550">
        <w:rPr>
          <w:rFonts w:ascii="Times New Roman" w:hAnsi="Times New Roman" w:cs="Times New Roman"/>
          <w:sz w:val="24"/>
          <w:szCs w:val="24"/>
        </w:rPr>
        <w:t xml:space="preserve">egulatório </w:t>
      </w:r>
      <w:r w:rsidR="00155183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onstante: O cenário regulatório do setor elétrico está em constante evolução. É imperativo que a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>sina São João, ou sua consultoria especializada em energia, acompanhe de perto as atualizações da ANEEL, em particular as relativas à REN ANEEL 1.000/2021 e ao Marco Legal da Geração Distribuída (Lei 14.300/2022).</w:t>
      </w:r>
    </w:p>
    <w:p w14:paraId="055DED1E" w14:textId="77777777" w:rsidR="000506E1" w:rsidRDefault="000506E1" w:rsidP="00A913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27CD1" w14:textId="77777777" w:rsidR="009907E6" w:rsidRDefault="009907E6" w:rsidP="00A913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756C55" w14:textId="77777777" w:rsidR="00EE4ECE" w:rsidRPr="00934550" w:rsidRDefault="00EE4ECE" w:rsidP="00ED18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Conclusão</w:t>
      </w:r>
    </w:p>
    <w:p w14:paraId="53C9B8A4" w14:textId="7075BDDE" w:rsidR="00EE4ECE" w:rsidRPr="00934550" w:rsidRDefault="00EE4ECE" w:rsidP="00ED18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 de Araras, em sua complexa operação de cogeração, demonstra ser um ator significativo no setor elétrico, ao mesmo tempo em que está exposta a penalidades substanciais por ultrapassagem dos limites contratuais de energia. O estudo de caso permitiu quantificar o impacto financeiro potencial dessas violações. A multa por ultrapassagem de demanda na importação, por exemplo, pode representar um custo financeiro elevado de cerca de R$ 58.140,00 para um excedente de 1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34550">
        <w:rPr>
          <w:rFonts w:ascii="Times New Roman" w:hAnsi="Times New Roman" w:cs="Times New Roman"/>
          <w:sz w:val="24"/>
          <w:szCs w:val="24"/>
        </w:rPr>
        <w:t xml:space="preserve">W acima da tolerância, considerando as tarifas vigentes da </w:t>
      </w:r>
      <w:r w:rsidR="004A3B75" w:rsidRPr="004A3B75">
        <w:rPr>
          <w:rFonts w:ascii="Times New Roman" w:hAnsi="Times New Roman" w:cs="Times New Roman"/>
          <w:sz w:val="24"/>
          <w:szCs w:val="24"/>
        </w:rPr>
        <w:t>Neoenergia Elektro</w:t>
      </w:r>
      <w:r w:rsidRPr="00934550">
        <w:rPr>
          <w:rFonts w:ascii="Times New Roman" w:hAnsi="Times New Roman" w:cs="Times New Roman"/>
          <w:sz w:val="24"/>
          <w:szCs w:val="24"/>
        </w:rPr>
        <w:t xml:space="preserve">. Para a exportação, as penalidades se traduzem em descumprimentos do CUSD </w:t>
      </w:r>
      <w:r w:rsidR="00155183" w:rsidRPr="00934550">
        <w:rPr>
          <w:rFonts w:ascii="Times New Roman" w:hAnsi="Times New Roman" w:cs="Times New Roman"/>
          <w:sz w:val="24"/>
          <w:szCs w:val="24"/>
        </w:rPr>
        <w:t>como autoprodutor</w:t>
      </w:r>
      <w:r w:rsidRPr="00934550">
        <w:rPr>
          <w:rFonts w:ascii="Times New Roman" w:hAnsi="Times New Roman" w:cs="Times New Roman"/>
          <w:sz w:val="24"/>
          <w:szCs w:val="24"/>
        </w:rPr>
        <w:t>, podendo resultar em multas contratuais específicas e, em casos de necessidade de adequação da rede, na exigência de investimentos em infraestrutura.</w:t>
      </w:r>
    </w:p>
    <w:p w14:paraId="7CBD5B85" w14:textId="63B4C642" w:rsidR="00EE4ECE" w:rsidRPr="00934550" w:rsidRDefault="00EE4ECE" w:rsidP="00ED18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A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João, ao longo de sua trajetória, demonstrou um compromisso com a modernização e a sustentabilidade, investindo </w:t>
      </w:r>
      <w:r>
        <w:rPr>
          <w:rFonts w:ascii="Times New Roman" w:hAnsi="Times New Roman" w:cs="Times New Roman"/>
          <w:sz w:val="24"/>
          <w:szCs w:val="24"/>
        </w:rPr>
        <w:t>US</w:t>
      </w:r>
      <w:r w:rsidRPr="00934550">
        <w:rPr>
          <w:rFonts w:ascii="Times New Roman" w:hAnsi="Times New Roman" w:cs="Times New Roman"/>
          <w:sz w:val="24"/>
          <w:szCs w:val="24"/>
        </w:rPr>
        <w:t xml:space="preserve">$ </w:t>
      </w:r>
      <w:r w:rsidRPr="00AB030F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B030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4550">
        <w:rPr>
          <w:rFonts w:ascii="Times New Roman" w:hAnsi="Times New Roman" w:cs="Times New Roman"/>
          <w:sz w:val="24"/>
          <w:szCs w:val="24"/>
        </w:rPr>
        <w:t xml:space="preserve">milhões na </w:t>
      </w:r>
      <w:r w:rsidR="00155183">
        <w:rPr>
          <w:rFonts w:ascii="Times New Roman" w:hAnsi="Times New Roman" w:cs="Times New Roman"/>
          <w:sz w:val="24"/>
          <w:szCs w:val="24"/>
        </w:rPr>
        <w:t>c</w:t>
      </w:r>
      <w:r w:rsidRPr="00934550">
        <w:rPr>
          <w:rFonts w:ascii="Times New Roman" w:hAnsi="Times New Roman" w:cs="Times New Roman"/>
          <w:sz w:val="24"/>
          <w:szCs w:val="24"/>
        </w:rPr>
        <w:t xml:space="preserve">aldeira </w:t>
      </w:r>
      <w:r>
        <w:rPr>
          <w:rFonts w:ascii="Times New Roman" w:hAnsi="Times New Roman" w:cs="Times New Roman"/>
          <w:sz w:val="24"/>
          <w:szCs w:val="24"/>
        </w:rPr>
        <w:t>nova</w:t>
      </w:r>
      <w:r w:rsidRPr="00934550">
        <w:rPr>
          <w:rFonts w:ascii="Times New Roman" w:hAnsi="Times New Roman" w:cs="Times New Roman"/>
          <w:sz w:val="24"/>
          <w:szCs w:val="24"/>
        </w:rPr>
        <w:t xml:space="preserve"> e no </w:t>
      </w:r>
      <w:r w:rsidR="00155183">
        <w:rPr>
          <w:rFonts w:ascii="Times New Roman" w:hAnsi="Times New Roman" w:cs="Times New Roman"/>
          <w:sz w:val="24"/>
          <w:szCs w:val="24"/>
        </w:rPr>
        <w:t>g</w:t>
      </w:r>
      <w:r w:rsidRPr="00934550">
        <w:rPr>
          <w:rFonts w:ascii="Times New Roman" w:hAnsi="Times New Roman" w:cs="Times New Roman"/>
          <w:sz w:val="24"/>
          <w:szCs w:val="24"/>
        </w:rPr>
        <w:t xml:space="preserve">erador </w:t>
      </w:r>
      <w:r>
        <w:rPr>
          <w:rFonts w:ascii="Times New Roman" w:hAnsi="Times New Roman" w:cs="Times New Roman"/>
          <w:sz w:val="24"/>
          <w:szCs w:val="24"/>
        </w:rPr>
        <w:t>novo</w:t>
      </w:r>
      <w:r w:rsidRPr="00934550">
        <w:rPr>
          <w:rFonts w:ascii="Times New Roman" w:hAnsi="Times New Roman" w:cs="Times New Roman"/>
          <w:sz w:val="24"/>
          <w:szCs w:val="24"/>
        </w:rPr>
        <w:t>, com um payback real de 5,9 anos. Essa ampliação não só garantiu a autossuficiência energética, mas também abriu as portas para a comercialização de excedentes, chegando a 12 MW de demanda de exportação contratada.</w:t>
      </w:r>
    </w:p>
    <w:p w14:paraId="076CE565" w14:textId="5EB95ECB" w:rsidR="00EE4ECE" w:rsidRDefault="00EE4ECE" w:rsidP="00ED18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4550">
        <w:rPr>
          <w:rFonts w:ascii="Times New Roman" w:hAnsi="Times New Roman" w:cs="Times New Roman"/>
          <w:sz w:val="24"/>
          <w:szCs w:val="24"/>
        </w:rPr>
        <w:t xml:space="preserve">Em resumo, a gestão proativa e informada da demanda e da geração, aliada a um monitoramento contínuo e ao profundo conhecimento dos termos contratuais e do conjunto de leis e regras, são pilares essenciais para evitar esses custos adicionais e assegurar a operação eficiente e sustentável da </w:t>
      </w:r>
      <w:r w:rsidR="00155183">
        <w:rPr>
          <w:rFonts w:ascii="Times New Roman" w:hAnsi="Times New Roman" w:cs="Times New Roman"/>
          <w:sz w:val="24"/>
          <w:szCs w:val="24"/>
        </w:rPr>
        <w:t>u</w:t>
      </w:r>
      <w:r w:rsidRPr="00934550">
        <w:rPr>
          <w:rFonts w:ascii="Times New Roman" w:hAnsi="Times New Roman" w:cs="Times New Roman"/>
          <w:sz w:val="24"/>
          <w:szCs w:val="24"/>
        </w:rPr>
        <w:t xml:space="preserve">sina São João no cenário energético brasileiro. A integração das tecnologias da </w:t>
      </w:r>
      <w:r w:rsidR="00155183">
        <w:rPr>
          <w:rFonts w:ascii="Times New Roman" w:hAnsi="Times New Roman" w:cs="Times New Roman"/>
          <w:sz w:val="24"/>
          <w:szCs w:val="24"/>
        </w:rPr>
        <w:t>i</w:t>
      </w:r>
      <w:r w:rsidRPr="00934550">
        <w:rPr>
          <w:rFonts w:ascii="Times New Roman" w:hAnsi="Times New Roman" w:cs="Times New Roman"/>
          <w:sz w:val="24"/>
          <w:szCs w:val="24"/>
        </w:rPr>
        <w:t>ndústria 4.0 é um diferencial importante para a otimização desses processos e a manutenção da competitividade da usina.</w:t>
      </w:r>
    </w:p>
    <w:p w14:paraId="5F99A071" w14:textId="11329EBD" w:rsidR="00CB4A8B" w:rsidRDefault="00CB4A8B" w:rsidP="00ED18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4A8B">
        <w:rPr>
          <w:rFonts w:ascii="Times New Roman" w:hAnsi="Times New Roman" w:cs="Times New Roman"/>
          <w:sz w:val="24"/>
          <w:szCs w:val="24"/>
        </w:rPr>
        <w:t xml:space="preserve">Segue </w:t>
      </w:r>
      <w:r w:rsidR="00F5085C">
        <w:rPr>
          <w:rFonts w:ascii="Times New Roman" w:hAnsi="Times New Roman" w:cs="Times New Roman"/>
          <w:sz w:val="24"/>
          <w:szCs w:val="24"/>
        </w:rPr>
        <w:t xml:space="preserve">abaixo o </w:t>
      </w:r>
      <w:r w:rsidRPr="00CB4A8B">
        <w:rPr>
          <w:rFonts w:ascii="Times New Roman" w:hAnsi="Times New Roman" w:cs="Times New Roman"/>
          <w:sz w:val="24"/>
          <w:szCs w:val="24"/>
        </w:rPr>
        <w:t>link de acesso ao repositório no GitHub, onde estão anexados todos os arquivos utilizados na confecção deste trabalho de conclusão de curso (TCC).</w:t>
      </w:r>
    </w:p>
    <w:p w14:paraId="56B66464" w14:textId="77777777" w:rsidR="00CB4A8B" w:rsidRPr="00934550" w:rsidRDefault="00CB4A8B" w:rsidP="00CB4A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tgtFrame="_blank" w:history="1">
        <w:r w:rsidRPr="0093455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https://github.com/DiegoFogari/COGERACAO-NO-SETOR-SUCROALCOOLEIRO-A-PARTIR-DO-BAGACO-DE-CANA-DE-ACUCAR</w:t>
        </w:r>
      </w:hyperlink>
    </w:p>
    <w:p w14:paraId="1105A0CA" w14:textId="77777777" w:rsidR="000506E1" w:rsidRDefault="000506E1" w:rsidP="0075246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912B4" w14:textId="35E9A396" w:rsidR="00EE4ECE" w:rsidRDefault="00EE4ECE" w:rsidP="00ED183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550">
        <w:rPr>
          <w:rFonts w:ascii="Times New Roman" w:hAnsi="Times New Roman" w:cs="Times New Roman"/>
          <w:b/>
          <w:bCs/>
          <w:sz w:val="24"/>
          <w:szCs w:val="24"/>
        </w:rPr>
        <w:t>REFERÊNCIAS</w:t>
      </w:r>
    </w:p>
    <w:p w14:paraId="02884106" w14:textId="77777777" w:rsidR="00D00639" w:rsidRDefault="00D00639" w:rsidP="00D00639">
      <w:pPr>
        <w:pStyle w:val="NormalWeb"/>
        <w:jc w:val="both"/>
      </w:pPr>
      <w:r>
        <w:t xml:space="preserve">ABB. </w:t>
      </w:r>
      <w:r>
        <w:rPr>
          <w:b/>
          <w:bCs/>
        </w:rPr>
        <w:t>Manual do Sistema de Excitação UNITROL</w:t>
      </w:r>
      <w:r>
        <w:t>. [S. l.]: ABB, 2023.</w:t>
      </w:r>
    </w:p>
    <w:p w14:paraId="40334305" w14:textId="77777777" w:rsidR="00D00639" w:rsidRDefault="00D00639" w:rsidP="00D00639">
      <w:pPr>
        <w:pStyle w:val="NormalWeb"/>
        <w:jc w:val="both"/>
      </w:pPr>
      <w:r>
        <w:t xml:space="preserve">ANEEL. </w:t>
      </w:r>
      <w:r>
        <w:rPr>
          <w:b/>
          <w:bCs/>
        </w:rPr>
        <w:t>Nota Técnica nº 183/2022-SRD/ANEEL</w:t>
      </w:r>
      <w:r>
        <w:t>. Brasília, 2022.</w:t>
      </w:r>
    </w:p>
    <w:p w14:paraId="099EE75F" w14:textId="77777777" w:rsidR="00D00639" w:rsidRDefault="00D00639" w:rsidP="00D00639">
      <w:pPr>
        <w:pStyle w:val="NormalWeb"/>
        <w:jc w:val="both"/>
      </w:pPr>
      <w:r>
        <w:t xml:space="preserve">ANEEL. </w:t>
      </w:r>
      <w:r>
        <w:rPr>
          <w:b/>
          <w:bCs/>
        </w:rPr>
        <w:t>Resolução Normativa nº 1.000, de 7 de dezembro de 2021</w:t>
      </w:r>
      <w:r>
        <w:t>. Estabelece as regras para a prestação do serviço público de distribuição de energia elétrica. Diário Oficial da União, Brasília, 14 dez. 2021.</w:t>
      </w:r>
    </w:p>
    <w:p w14:paraId="301ED5BE" w14:textId="77777777" w:rsidR="00D00639" w:rsidRDefault="00D00639" w:rsidP="00D00639">
      <w:pPr>
        <w:pStyle w:val="NormalWeb"/>
        <w:jc w:val="both"/>
      </w:pPr>
      <w:r>
        <w:lastRenderedPageBreak/>
        <w:t xml:space="preserve">BILATTO, G. </w:t>
      </w:r>
      <w:r>
        <w:rPr>
          <w:i/>
          <w:iCs/>
        </w:rPr>
        <w:t>et al</w:t>
      </w:r>
      <w:r>
        <w:t xml:space="preserve">. Uso de palha de cana-de-açúcar na geração de energia em usinas do setor sucroenergético. </w:t>
      </w:r>
      <w:r>
        <w:rPr>
          <w:b/>
          <w:bCs/>
        </w:rPr>
        <w:t>Revista Ibero-Americana de Ciências Ambientais</w:t>
      </w:r>
      <w:r>
        <w:t>, v. 11, n. 4, p. 1-13, 2020.</w:t>
      </w:r>
    </w:p>
    <w:p w14:paraId="29FAB6A3" w14:textId="2949325D" w:rsidR="00D00639" w:rsidRDefault="00D00639" w:rsidP="00D00639">
      <w:pPr>
        <w:pStyle w:val="NormalWeb"/>
        <w:jc w:val="both"/>
      </w:pPr>
      <w:r>
        <w:t xml:space="preserve">CEISE Br. </w:t>
      </w:r>
      <w:r>
        <w:rPr>
          <w:b/>
          <w:bCs/>
        </w:rPr>
        <w:t>Brasil ocupa posição de destaque mundial na cogeração renovável de energia</w:t>
      </w:r>
      <w:r>
        <w:t>. [S. l.], 20</w:t>
      </w:r>
      <w:r w:rsidR="00DA44D7">
        <w:t>25</w:t>
      </w:r>
      <w:r>
        <w:t xml:space="preserve">. Disponível em: </w:t>
      </w:r>
      <w:hyperlink r:id="rId14" w:tgtFrame="_blank" w:history="1">
        <w:r>
          <w:rPr>
            <w:rStyle w:val="Hyperlink"/>
            <w:rFonts w:eastAsiaTheme="majorEastAsia"/>
          </w:rPr>
          <w:t>https://ceisebr.com.br/noticias/brasil-ocupa-posicao-de-destaque-mundial-na-cogeracao-renovavel-de-energia</w:t>
        </w:r>
      </w:hyperlink>
      <w:r>
        <w:t>. Acesso em: 23 set. 2025.</w:t>
      </w:r>
    </w:p>
    <w:p w14:paraId="123D522D" w14:textId="77777777" w:rsidR="00D00639" w:rsidRDefault="00D00639" w:rsidP="00D00639">
      <w:pPr>
        <w:pStyle w:val="NormalWeb"/>
        <w:jc w:val="both"/>
      </w:pPr>
      <w:r>
        <w:t xml:space="preserve">FIORI, Tiago Cardoso. </w:t>
      </w:r>
      <w:r>
        <w:rPr>
          <w:b/>
          <w:bCs/>
        </w:rPr>
        <w:t>Cogeração de energia através do bagaço de cana-de-açúcar</w:t>
      </w:r>
      <w:r>
        <w:t>: revisão de literatura. 2011. Monografia (Pós-graduação em Gestão de Produção Sucroenergética) - Universidade Federal de São Carlos, Sertãozinho, 2011.</w:t>
      </w:r>
    </w:p>
    <w:p w14:paraId="55863C59" w14:textId="77777777" w:rsidR="00D00639" w:rsidRDefault="00D00639" w:rsidP="00D00639">
      <w:pPr>
        <w:pStyle w:val="NormalWeb"/>
        <w:jc w:val="both"/>
      </w:pPr>
      <w:r>
        <w:t xml:space="preserve">GROTTO, J. C. </w:t>
      </w:r>
      <w:r>
        <w:rPr>
          <w:i/>
          <w:iCs/>
        </w:rPr>
        <w:t>et al</w:t>
      </w:r>
      <w:r>
        <w:t xml:space="preserve">. Caracterização da biomassa de bagaço de cana-de-açúcar com vistas energéticas. </w:t>
      </w:r>
      <w:r>
        <w:rPr>
          <w:b/>
          <w:bCs/>
        </w:rPr>
        <w:t>ForScience</w:t>
      </w:r>
      <w:r>
        <w:t>, Formiga, v. 9, n. 1, e00928, jan./jun. 2021.</w:t>
      </w:r>
    </w:p>
    <w:p w14:paraId="19C5FE6C" w14:textId="77777777" w:rsidR="00D00639" w:rsidRDefault="00D00639" w:rsidP="00D00639">
      <w:pPr>
        <w:pStyle w:val="NormalWeb"/>
        <w:jc w:val="both"/>
      </w:pPr>
      <w:r>
        <w:t xml:space="preserve">JORNAL CANA. </w:t>
      </w:r>
      <w:r>
        <w:rPr>
          <w:b/>
          <w:bCs/>
        </w:rPr>
        <w:t>Biomassa do bagaço de cana representa 60,1% da capacidade instalada de cogeração no Brasil</w:t>
      </w:r>
      <w:r>
        <w:t xml:space="preserve">. [S. l.], 2023. Disponível em: </w:t>
      </w:r>
      <w:hyperlink r:id="rId15" w:tgtFrame="_blank" w:history="1">
        <w:r>
          <w:rPr>
            <w:rStyle w:val="Hyperlink"/>
            <w:rFonts w:eastAsiaTheme="majorEastAsia"/>
          </w:rPr>
          <w:t>http://www.jornalcana.com.br</w:t>
        </w:r>
      </w:hyperlink>
      <w:r>
        <w:t>. Acesso em: 18 set. 2025.</w:t>
      </w:r>
    </w:p>
    <w:p w14:paraId="5BBE31C6" w14:textId="77777777" w:rsidR="00D00639" w:rsidRDefault="00D00639" w:rsidP="00D00639">
      <w:pPr>
        <w:pStyle w:val="NormalWeb"/>
        <w:jc w:val="both"/>
      </w:pPr>
      <w:r>
        <w:t xml:space="preserve">MAIA, Vanessa da Silva. </w:t>
      </w:r>
      <w:r>
        <w:rPr>
          <w:b/>
          <w:bCs/>
        </w:rPr>
        <w:t>Cogeração de energia a partir da queima do bagaço da cana-de-açúcar</w:t>
      </w:r>
      <w:r>
        <w:t>. 2022. Artigo Científico (Técnico em Açúcar e Álcool) - Instituto Federal de Alagoas, Campus Penedo, 2022.</w:t>
      </w:r>
    </w:p>
    <w:p w14:paraId="2A887024" w14:textId="77777777" w:rsidR="00D00639" w:rsidRDefault="00D00639" w:rsidP="00D00639">
      <w:pPr>
        <w:pStyle w:val="NormalWeb"/>
        <w:jc w:val="both"/>
      </w:pPr>
      <w:r>
        <w:t xml:space="preserve">MORAES, Scarllet O'hara de Oliveira. </w:t>
      </w:r>
      <w:r>
        <w:rPr>
          <w:b/>
          <w:bCs/>
        </w:rPr>
        <w:t>Cogeração no setor sucroalcooleiro a partir do reaproveitamento energético da biomassa do bagaço de cana</w:t>
      </w:r>
      <w:r>
        <w:t>. 2015. Trabalho de Conclusão de Curso (Tecnólogo em Produção Sucroalcooleira) - Universidade Federal da Paraíba, Santa Rita, 2015.</w:t>
      </w:r>
    </w:p>
    <w:p w14:paraId="4F42EE8B" w14:textId="77777777" w:rsidR="00D00639" w:rsidRDefault="00D00639" w:rsidP="00D00639">
      <w:pPr>
        <w:pStyle w:val="NormalWeb"/>
        <w:jc w:val="both"/>
      </w:pPr>
      <w:r>
        <w:t xml:space="preserve">RÜHL, J. The environmental impact of fossil fuels. </w:t>
      </w:r>
      <w:r>
        <w:rPr>
          <w:b/>
          <w:bCs/>
        </w:rPr>
        <w:t>Energy Policy</w:t>
      </w:r>
      <w:r>
        <w:t>, v. 49, p. 1-10, 2012.</w:t>
      </w:r>
    </w:p>
    <w:p w14:paraId="55C61FB0" w14:textId="77777777" w:rsidR="00D00639" w:rsidRDefault="00D00639" w:rsidP="00D00639">
      <w:pPr>
        <w:pStyle w:val="NormalWeb"/>
        <w:jc w:val="both"/>
      </w:pPr>
      <w:r>
        <w:t xml:space="preserve">SCHWEITZER ENGINEERING LABORATORIES (SEL). </w:t>
      </w:r>
      <w:r>
        <w:rPr>
          <w:b/>
          <w:bCs/>
        </w:rPr>
        <w:t>Manual do Relé de Proteção SEL-300G</w:t>
      </w:r>
      <w:r>
        <w:t>. Pullman, WA: SEL, 2023.</w:t>
      </w:r>
    </w:p>
    <w:p w14:paraId="2CBA90EF" w14:textId="77777777" w:rsidR="00D00639" w:rsidRDefault="00D00639" w:rsidP="00D00639">
      <w:pPr>
        <w:pStyle w:val="NormalWeb"/>
        <w:jc w:val="both"/>
      </w:pPr>
      <w:r>
        <w:t xml:space="preserve">SIEMENS. </w:t>
      </w:r>
      <w:r>
        <w:rPr>
          <w:b/>
          <w:bCs/>
        </w:rPr>
        <w:t>Manual do Sistema Supervisório SIMATIC S7</w:t>
      </w:r>
      <w:r>
        <w:t>. [S. l.]: Siemens, 2023.</w:t>
      </w:r>
    </w:p>
    <w:p w14:paraId="0C56ED2E" w14:textId="77777777" w:rsidR="00D00639" w:rsidRDefault="00D00639" w:rsidP="00D00639">
      <w:pPr>
        <w:pStyle w:val="NormalWeb"/>
        <w:jc w:val="both"/>
      </w:pPr>
      <w:r>
        <w:t xml:space="preserve">TEIXEIRA, Natalia Biazi </w:t>
      </w:r>
      <w:r>
        <w:rPr>
          <w:i/>
          <w:iCs/>
        </w:rPr>
        <w:t>et al</w:t>
      </w:r>
      <w:r>
        <w:t xml:space="preserve">. Cogeração de energia elétrica utilizando o bagaço de cana-de-açúcar no Brasil e no Paraná em 2018. </w:t>
      </w:r>
      <w:r>
        <w:rPr>
          <w:b/>
          <w:bCs/>
        </w:rPr>
        <w:t>A Economia em Revista</w:t>
      </w:r>
      <w:r>
        <w:t>, v. 27, n. 1, p. 66-78, jan./abr. 2019.</w:t>
      </w:r>
    </w:p>
    <w:p w14:paraId="7DD5B4B4" w14:textId="77777777" w:rsidR="00D00639" w:rsidRDefault="00D00639" w:rsidP="00D00639">
      <w:pPr>
        <w:pStyle w:val="NormalWeb"/>
        <w:jc w:val="both"/>
      </w:pPr>
      <w:r>
        <w:t xml:space="preserve">TGM. </w:t>
      </w:r>
      <w:r>
        <w:rPr>
          <w:b/>
          <w:bCs/>
        </w:rPr>
        <w:t>Manual do modelo de turbina a vapor TM 35000A</w:t>
      </w:r>
      <w:r>
        <w:t>. Sertãozinho, SP: TGM, 2023.</w:t>
      </w:r>
    </w:p>
    <w:p w14:paraId="0A826A09" w14:textId="77777777" w:rsidR="00D00639" w:rsidRDefault="00D00639" w:rsidP="00D00639">
      <w:pPr>
        <w:pStyle w:val="NormalWeb"/>
        <w:jc w:val="both"/>
      </w:pPr>
      <w:r>
        <w:t xml:space="preserve">WEG. </w:t>
      </w:r>
      <w:r>
        <w:rPr>
          <w:b/>
          <w:bCs/>
        </w:rPr>
        <w:t>Manual do Gerador Elétrico WEG de 31,25 MVA</w:t>
      </w:r>
      <w:r>
        <w:t>. Jaraguá do Sul, SC: WEG, 2023.</w:t>
      </w:r>
    </w:p>
    <w:p w14:paraId="482A8C7F" w14:textId="77777777" w:rsidR="00D00639" w:rsidRDefault="00D00639" w:rsidP="00D00639">
      <w:pPr>
        <w:pStyle w:val="NormalWeb"/>
        <w:jc w:val="both"/>
      </w:pPr>
      <w:r>
        <w:t xml:space="preserve">WOODWARD. </w:t>
      </w:r>
      <w:r>
        <w:rPr>
          <w:b/>
          <w:bCs/>
        </w:rPr>
        <w:t>Manual de Controladores de Sincronismo e Paralelismo MSLC e DSLC</w:t>
      </w:r>
      <w:r>
        <w:t>. [S. l.]: Woodward, 2023.</w:t>
      </w:r>
    </w:p>
    <w:p w14:paraId="5C3869D6" w14:textId="77777777" w:rsidR="003A21AB" w:rsidRDefault="003A21AB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7DA5C6E" w14:textId="77777777" w:rsidR="00831922" w:rsidRP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83F1410" w14:textId="58186C5C" w:rsidR="00831922" w:rsidRPr="00831922" w:rsidRDefault="00831922" w:rsidP="0083192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1922">
        <w:rPr>
          <w:rFonts w:ascii="Times New Roman" w:hAnsi="Times New Roman" w:cs="Times New Roman"/>
          <w:sz w:val="24"/>
          <w:szCs w:val="24"/>
        </w:rPr>
        <w:lastRenderedPageBreak/>
        <w:t>Anexo 1 – Termo de autorização de uso de dados da USJ – usina São João de Araras - SP</w:t>
      </w:r>
    </w:p>
    <w:p w14:paraId="57C7ECB2" w14:textId="2D8525C2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B927D5" w14:textId="05B6B246" w:rsidR="00831922" w:rsidRDefault="003A21AB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0A7C6D1B" wp14:editId="1CDF8B61">
            <wp:simplePos x="0" y="0"/>
            <wp:positionH relativeFrom="page">
              <wp:posOffset>539750</wp:posOffset>
            </wp:positionH>
            <wp:positionV relativeFrom="page">
              <wp:posOffset>1503045</wp:posOffset>
            </wp:positionV>
            <wp:extent cx="6511290" cy="9201901"/>
            <wp:effectExtent l="0" t="0" r="3810" b="0"/>
            <wp:wrapNone/>
            <wp:docPr id="1" name="Image 1" descr="Texto, Cart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, Carta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9201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626D9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6FA2D8F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0BD754E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93F477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25D5E98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33E0C7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E3D168" w14:textId="77777777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A6ADE3" w14:textId="008EEA14" w:rsidR="00831922" w:rsidRDefault="00831922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736B0B7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5E6EBE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270767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6169DE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E6829A1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E75906F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61FDD9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F620B8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CAFE172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3AB011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56C95F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5297DA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EA5F95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477AD3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CC7B02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5A72758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95B6AC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06A033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C0A7F8A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B8D7A9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F1CBD8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A64A2A6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ABEB51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2E5CAC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C30057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6CBF7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9FE883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9D88F6D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3AF5E01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977867F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0CEED2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1B0F5A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71745B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CBBF4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D1A0F9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E5141F0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DFEA042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C68A297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F4B26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F840591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6DF4EB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4CEEC2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D39A8F7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52C6A1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EC430B4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C02482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62AF8E7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059C2E" w14:textId="77777777" w:rsidR="0033580A" w:rsidRDefault="0033580A" w:rsidP="00ED183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3358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D5D"/>
    <w:multiLevelType w:val="multilevel"/>
    <w:tmpl w:val="769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6465"/>
    <w:multiLevelType w:val="multilevel"/>
    <w:tmpl w:val="A6BAC3E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32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  <w:sz w:val="20"/>
      </w:rPr>
    </w:lvl>
  </w:abstractNum>
  <w:abstractNum w:abstractNumId="2" w15:restartNumberingAfterBreak="0">
    <w:nsid w:val="21E62888"/>
    <w:multiLevelType w:val="hybridMultilevel"/>
    <w:tmpl w:val="EEF4A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D7026"/>
    <w:multiLevelType w:val="hybridMultilevel"/>
    <w:tmpl w:val="6D829E06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BBD2B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" w15:restartNumberingAfterBreak="0">
    <w:nsid w:val="60074723"/>
    <w:multiLevelType w:val="multilevel"/>
    <w:tmpl w:val="7BC22E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6" w15:restartNumberingAfterBreak="0">
    <w:nsid w:val="63D00147"/>
    <w:multiLevelType w:val="multilevel"/>
    <w:tmpl w:val="2F22A396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32"/>
      </w:rPr>
    </w:lvl>
    <w:lvl w:ilvl="1">
      <w:start w:val="1"/>
      <w:numFmt w:val="upperRoman"/>
      <w:lvlText w:val="%2."/>
      <w:lvlJc w:val="right"/>
      <w:pPr>
        <w:ind w:left="1004" w:hanging="360"/>
      </w:p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  <w:sz w:val="20"/>
      </w:rPr>
    </w:lvl>
  </w:abstractNum>
  <w:abstractNum w:abstractNumId="7" w15:restartNumberingAfterBreak="0">
    <w:nsid w:val="7FAB07E8"/>
    <w:multiLevelType w:val="multilevel"/>
    <w:tmpl w:val="E20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51079">
    <w:abstractNumId w:val="0"/>
  </w:num>
  <w:num w:numId="2" w16cid:durableId="1316107624">
    <w:abstractNumId w:val="7"/>
  </w:num>
  <w:num w:numId="3" w16cid:durableId="1353725485">
    <w:abstractNumId w:val="4"/>
  </w:num>
  <w:num w:numId="4" w16cid:durableId="1358002089">
    <w:abstractNumId w:val="3"/>
  </w:num>
  <w:num w:numId="5" w16cid:durableId="651569974">
    <w:abstractNumId w:val="1"/>
  </w:num>
  <w:num w:numId="6" w16cid:durableId="1108700429">
    <w:abstractNumId w:val="5"/>
  </w:num>
  <w:num w:numId="7" w16cid:durableId="732583088">
    <w:abstractNumId w:val="6"/>
  </w:num>
  <w:num w:numId="8" w16cid:durableId="723943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CE"/>
    <w:rsid w:val="00001348"/>
    <w:rsid w:val="00010044"/>
    <w:rsid w:val="00027343"/>
    <w:rsid w:val="00037978"/>
    <w:rsid w:val="000404B5"/>
    <w:rsid w:val="000506E1"/>
    <w:rsid w:val="00096ADC"/>
    <w:rsid w:val="000B3437"/>
    <w:rsid w:val="000D1580"/>
    <w:rsid w:val="001439AC"/>
    <w:rsid w:val="00155183"/>
    <w:rsid w:val="00187F74"/>
    <w:rsid w:val="001A515D"/>
    <w:rsid w:val="00204CE5"/>
    <w:rsid w:val="002432B8"/>
    <w:rsid w:val="002513B0"/>
    <w:rsid w:val="002536A5"/>
    <w:rsid w:val="002570CB"/>
    <w:rsid w:val="002659A9"/>
    <w:rsid w:val="00284FBE"/>
    <w:rsid w:val="002A426C"/>
    <w:rsid w:val="002C0A7A"/>
    <w:rsid w:val="00323D1B"/>
    <w:rsid w:val="0033580A"/>
    <w:rsid w:val="00342691"/>
    <w:rsid w:val="00375017"/>
    <w:rsid w:val="00381568"/>
    <w:rsid w:val="00382A24"/>
    <w:rsid w:val="003A21AB"/>
    <w:rsid w:val="003F08E5"/>
    <w:rsid w:val="0040248F"/>
    <w:rsid w:val="00472D4C"/>
    <w:rsid w:val="004A3B75"/>
    <w:rsid w:val="004E650B"/>
    <w:rsid w:val="004F2DAB"/>
    <w:rsid w:val="00504CA7"/>
    <w:rsid w:val="00510024"/>
    <w:rsid w:val="00554E08"/>
    <w:rsid w:val="0056012B"/>
    <w:rsid w:val="00562074"/>
    <w:rsid w:val="00567837"/>
    <w:rsid w:val="005701F5"/>
    <w:rsid w:val="005F723D"/>
    <w:rsid w:val="00614955"/>
    <w:rsid w:val="00626452"/>
    <w:rsid w:val="00694313"/>
    <w:rsid w:val="006C0FD1"/>
    <w:rsid w:val="006D10F8"/>
    <w:rsid w:val="006D6386"/>
    <w:rsid w:val="006E7DDA"/>
    <w:rsid w:val="00736A04"/>
    <w:rsid w:val="00742555"/>
    <w:rsid w:val="007468F4"/>
    <w:rsid w:val="0075246E"/>
    <w:rsid w:val="007545AE"/>
    <w:rsid w:val="00761E6C"/>
    <w:rsid w:val="007D084E"/>
    <w:rsid w:val="007D32F5"/>
    <w:rsid w:val="007E0C3E"/>
    <w:rsid w:val="007E390C"/>
    <w:rsid w:val="00801CAF"/>
    <w:rsid w:val="00812175"/>
    <w:rsid w:val="00816A94"/>
    <w:rsid w:val="00831922"/>
    <w:rsid w:val="00895DB8"/>
    <w:rsid w:val="008B096D"/>
    <w:rsid w:val="008B2F4C"/>
    <w:rsid w:val="008C3E29"/>
    <w:rsid w:val="008E0480"/>
    <w:rsid w:val="00962992"/>
    <w:rsid w:val="009907E6"/>
    <w:rsid w:val="0099329B"/>
    <w:rsid w:val="009A2A2E"/>
    <w:rsid w:val="009A3A2B"/>
    <w:rsid w:val="009B0589"/>
    <w:rsid w:val="009C0BAF"/>
    <w:rsid w:val="009E56F9"/>
    <w:rsid w:val="00A25792"/>
    <w:rsid w:val="00A354F4"/>
    <w:rsid w:val="00A80329"/>
    <w:rsid w:val="00A83FA6"/>
    <w:rsid w:val="00A91352"/>
    <w:rsid w:val="00AB36AE"/>
    <w:rsid w:val="00AD334F"/>
    <w:rsid w:val="00AE3BB4"/>
    <w:rsid w:val="00AF69A4"/>
    <w:rsid w:val="00AF7BFE"/>
    <w:rsid w:val="00B25AC8"/>
    <w:rsid w:val="00BA1096"/>
    <w:rsid w:val="00BE5114"/>
    <w:rsid w:val="00BF4127"/>
    <w:rsid w:val="00C32C93"/>
    <w:rsid w:val="00C46F68"/>
    <w:rsid w:val="00C54BD0"/>
    <w:rsid w:val="00C64E97"/>
    <w:rsid w:val="00CB4A8B"/>
    <w:rsid w:val="00CC1A87"/>
    <w:rsid w:val="00CC39DA"/>
    <w:rsid w:val="00CE0896"/>
    <w:rsid w:val="00D00639"/>
    <w:rsid w:val="00D93D83"/>
    <w:rsid w:val="00DA44D7"/>
    <w:rsid w:val="00DA5590"/>
    <w:rsid w:val="00DF11CF"/>
    <w:rsid w:val="00E00FCB"/>
    <w:rsid w:val="00E05DEF"/>
    <w:rsid w:val="00E42836"/>
    <w:rsid w:val="00E45C1F"/>
    <w:rsid w:val="00E60A7C"/>
    <w:rsid w:val="00E95CEA"/>
    <w:rsid w:val="00ED183E"/>
    <w:rsid w:val="00ED7947"/>
    <w:rsid w:val="00EE4ECE"/>
    <w:rsid w:val="00F100D0"/>
    <w:rsid w:val="00F5085C"/>
    <w:rsid w:val="00F56D69"/>
    <w:rsid w:val="00FA6D18"/>
    <w:rsid w:val="00FB18BB"/>
    <w:rsid w:val="00FD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E644"/>
  <w15:chartTrackingRefBased/>
  <w15:docId w15:val="{8EE7E69D-91D0-4981-9F2E-EC9B71DB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ECE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EE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E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E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E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E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E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E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EC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E4EC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E4EC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4ECE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6E7D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096ADC"/>
    <w:rPr>
      <w:color w:val="96607D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51002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1002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1002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1002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1002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E5114"/>
    <w:pPr>
      <w:spacing w:after="0" w:line="240" w:lineRule="auto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0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iegoFogari/COGERACAO-NO-SETOR-SUCROALCOOLEIRO-A-PARTIR-DO-BAGACO-DE-CANA-DE-ACUCA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www.jornalcana.com.br" TargetMode="Externa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hyperlink" Target="https://ceisebr.com.br/noticias/brasil-ocupa-posicao-de-destaque-mundial-na-cogeracao-renovavel-de-energi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D184C-A08E-4384-86F9-0A130041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5922</Words>
  <Characters>31980</Characters>
  <Application>Microsoft Office Word</Application>
  <DocSecurity>0</DocSecurity>
  <Lines>266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Henrique Viega Fogari</dc:creator>
  <cp:keywords/>
  <dc:description/>
  <cp:lastModifiedBy>Diego Henrique Viega Fogari</cp:lastModifiedBy>
  <cp:revision>3</cp:revision>
  <dcterms:created xsi:type="dcterms:W3CDTF">2025-11-07T01:14:00Z</dcterms:created>
  <dcterms:modified xsi:type="dcterms:W3CDTF">2025-11-30T02:37:00Z</dcterms:modified>
</cp:coreProperties>
</file>