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both"/>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Términos y condiciones generales y contrato de compraventa de árboles.</w:t>
      </w:r>
    </w:p>
    <w:p>
      <w:pPr>
        <w:pStyle w:val="Titular"/>
        <w:rPr>
          <w:rFonts w:ascii="Comfortaa" w:hAnsi="Comfortaa" w:eastAsia="Times New Roman"/>
          <w:color w:val="035941"/>
          <w:sz w:val="52"/>
          <w:szCs w:val="52"/>
          <w:lang w:val="es-MX" w:eastAsia="es-MX"/>
        </w:rPr>
      </w:pPr>
      <w:r>
        <w:rPr>
          <w:rFonts w:eastAsia="Times New Roman" w:ascii="Comfortaa" w:hAnsi="Comfortaa"/>
          <w:color w:val="035941"/>
          <w:sz w:val="52"/>
          <w:szCs w:val="52"/>
          <w:lang w:val="es-MX" w:eastAsia="es-MX"/>
        </w:rPr>
        <w:t xml:space="preserve"> </w:t>
      </w:r>
    </w:p>
    <w:p>
      <w:pPr>
        <w:pStyle w:val="NoSpacing"/>
        <w:rPr/>
      </w:pPr>
      <w:r>
        <w:rPr>
          <w:rFonts w:ascii="Comfortaa Light" w:hAnsi="Comfortaa Light"/>
          <w:sz w:val="20"/>
          <w:szCs w:val="20"/>
          <w:lang w:val="es-MX" w:eastAsia="es-MX"/>
        </w:rPr>
        <w:t xml:space="preserve">Fecha de inicio del contrato: </w:t>
      </w:r>
      <w:r>
        <w:rPr>
          <w:rFonts w:ascii="Comfortaa Light" w:hAnsi="Comfortaa Light"/>
          <w:sz w:val="20"/>
          <w:szCs w:val="20"/>
          <w:lang w:val="es-MX" w:eastAsia="es-MX"/>
        </w:rPr>
        <w:t xml:space="preserve">2022-08-18 21:59:01.889000+00:00</w:t>
      </w:r>
    </w:p>
    <w:p>
      <w:pPr>
        <w:pStyle w:val="Normal"/>
        <w:shd w:val="clear" w:color="auto" w:fill="FFFFFF"/>
        <w:spacing w:lineRule="auto" w:line="240" w:before="0" w:after="0"/>
        <w:jc w:val="both"/>
        <w:rPr/>
      </w:pPr>
      <w:r>
        <w:rPr>
          <w:rFonts w:eastAsia="Times New Roman" w:cs="Times New Roman" w:ascii="Comfortaa Light" w:hAnsi="Comfortaa Light"/>
          <w:color w:val="000000" w:themeColor="text1"/>
          <w:sz w:val="20"/>
          <w:szCs w:val="20"/>
          <w:lang w:val="es-MX" w:eastAsia="es-MX"/>
        </w:rPr>
        <w:t xml:space="preserve">Numero de Contrato: </w:t>
      </w:r>
      <w:r>
        <w:rPr>
          <w:rFonts w:eastAsia="Times New Roman" w:cs="Times New Roman" w:ascii="Comfortaa Light" w:hAnsi="Comfortaa Light"/>
          <w:color w:val="000000" w:themeColor="text1"/>
          <w:sz w:val="20"/>
          <w:szCs w:val="20"/>
          <w:lang w:val="es-MX" w:eastAsia="es-MX"/>
        </w:rPr>
        <w:t xml:space="preserve">148</w:t>
      </w:r>
    </w:p>
    <w:p>
      <w:pPr>
        <w:pStyle w:val="Normal"/>
        <w:shd w:val="clear" w:color="auto" w:fill="FFFFFF"/>
        <w:spacing w:lineRule="auto" w:line="240" w:before="0" w:after="0"/>
        <w:jc w:val="both"/>
        <w:rPr>
          <w:rFonts w:ascii="Comfortaa Light" w:hAnsi="Comfortaa Light" w:eastAsia="Times New Roman" w:cs="Times New Roman"/>
          <w:color w:val="000000" w:themeColor="text1"/>
          <w:sz w:val="20"/>
          <w:szCs w:val="20"/>
          <w:lang w:val="es-MX" w:eastAsia="es-MX"/>
        </w:rPr>
      </w:pPr>
      <w:r>
        <w:rPr>
          <w:rFonts w:eastAsia="Times New Roman" w:cs="Times New Roman" w:ascii="Comfortaa Light" w:hAnsi="Comfortaa Light"/>
          <w:color w:val="000000" w:themeColor="text1"/>
          <w:sz w:val="20"/>
          <w:szCs w:val="20"/>
          <w:lang w:val="es-MX" w:eastAsia="es-MX"/>
        </w:rPr>
      </w:r>
    </w:p>
    <w:p>
      <w:pPr>
        <w:pStyle w:val="NoSpacing"/>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rPr/>
      </w:pPr>
      <w:r>
        <w:rPr>
          <w:rFonts w:ascii="Comfortaa Light" w:hAnsi="Comfortaa Light"/>
          <w:sz w:val="20"/>
          <w:szCs w:val="20"/>
          <w:lang w:val="es-MX" w:eastAsia="es-MX"/>
        </w:rPr>
        <w:t xml:space="preserve">Correo electrónico: </w:t>
      </w:r>
      <w:hyperlink r:id="rId2">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rPr/>
      </w:pPr>
      <w:hyperlink r:id="rId3">
        <w:r>
          <w:rPr>
            <w:rStyle w:val="ListLabel35"/>
            <w:rFonts w:ascii="Comfortaa Light" w:hAnsi="Comfortaa Light"/>
            <w:sz w:val="20"/>
            <w:szCs w:val="20"/>
            <w:u w:val="single"/>
            <w:shd w:fill="FFFFFF" w:val="clear"/>
            <w:lang w:val="es-MX" w:eastAsia="es-MX"/>
          </w:rPr>
          <w:t>www.treeconomy.com.co</w:t>
        </w:r>
      </w:hyperlink>
    </w:p>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rPr/>
      </w:pPr>
      <w:r>
        <w:rPr>
          <w:rFonts w:ascii="Comfortaa Light" w:hAnsi="Comfortaa Light"/>
          <w:sz w:val="20"/>
          <w:szCs w:val="20"/>
          <w:lang w:val="es-MX" w:eastAsia="es-MX"/>
        </w:rPr>
        <w:t>Nombre: </w:t>
      </w:r>
      <w:r>
        <w:rPr>
          <w:rFonts w:ascii="Comfortaa Light" w:hAnsi="Comfortaa Light"/>
          <w:sz w:val="20"/>
          <w:szCs w:val="20"/>
          <w:lang w:val="es-MX" w:eastAsia="es-MX"/>
        </w:rPr>
        <w:t xml:space="preserve">Luis Alejandro Cruz Ordóñez</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1061769227.</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alejocruzzz@gmail.com</w:t>
      </w:r>
    </w:p>
    <w:p>
      <w:pPr>
        <w:pStyle w:val="NoSpacing"/>
        <w:rPr/>
      </w:pPr>
      <w:r>
        <w:rPr>
          <w:rFonts w:ascii="Comfortaa Light" w:hAnsi="Comfortaa Light"/>
          <w:sz w:val="20"/>
          <w:szCs w:val="20"/>
          <w:lang w:val="es-MX" w:eastAsia="es-MX"/>
        </w:rPr>
        <w:t xml:space="preserve">Número de teléfono: </w:t>
      </w:r>
      <w:bookmarkStart w:id="0" w:name="_Hlk109656603"/>
      <w:bookmarkEnd w:id="0"/>
      <w:r>
        <w:rPr>
          <w:rFonts w:ascii="Comfortaa Light" w:hAnsi="Comfortaa Light"/>
          <w:sz w:val="20"/>
          <w:szCs w:val="20"/>
          <w:lang w:val="es-MX" w:eastAsia="es-MX"/>
        </w:rPr>
        <w:t xml:space="preserve">+573116494967</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highlight w:val="white"/>
          <w:u w:val="single"/>
          <w:lang w:val="es-MX" w:eastAsia="es-MX"/>
        </w:rPr>
      </w:pPr>
      <w:r>
        <w:rPr>
          <w:rFonts w:cs="Times New Roman"/>
          <w:sz w:val="27"/>
          <w:szCs w:val="27"/>
          <w:lang w:val="es-MX" w:eastAsia="es-MX"/>
        </w:rPr>
        <w:t>Tercero de confianza por parte del comprador</w:t>
      </w:r>
    </w:p>
    <w:p>
      <w:pPr>
        <w:pStyle w:val="NoSpacing"/>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Jose Rodrigo Cruz</w:t>
      </w:r>
    </w:p>
    <w:p>
      <w:pPr>
        <w:pStyle w:val="NoSpacing"/>
        <w:rPr/>
      </w:pPr>
      <w:r>
        <w:rPr>
          <w:rFonts w:ascii="Comfortaa Light" w:hAnsi="Comfortaa Light"/>
          <w:sz w:val="20"/>
          <w:szCs w:val="20"/>
          <w:lang w:val="es-MX" w:eastAsia="es-MX"/>
        </w:rPr>
        <w:t xml:space="preserve">Documento de identidad: </w:t>
      </w:r>
      <w:r>
        <w:rPr>
          <w:rFonts w:ascii="Comfortaa Light" w:hAnsi="Comfortaa Light"/>
          <w:sz w:val="20"/>
          <w:szCs w:val="20"/>
          <w:lang w:val="es-MX" w:eastAsia="es-MX"/>
        </w:rPr>
        <w:t xml:space="preserve">10528032</w:t>
      </w:r>
    </w:p>
    <w:p>
      <w:pPr>
        <w:pStyle w:val="NoSpacing"/>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rodri@hotmail.com</w:t>
      </w:r>
    </w:p>
    <w:p>
      <w:pPr>
        <w:pStyle w:val="NoSpacing"/>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+573136817011</w:t>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r>
    </w:p>
    <w:p>
      <w:pPr>
        <w:pStyle w:val="NoSpacing"/>
        <w:rPr>
          <w:rFonts w:ascii="Comfortaa Light" w:hAnsi="Comfortaa Light"/>
          <w:sz w:val="20"/>
          <w:szCs w:val="20"/>
          <w:lang w:val="es-MX" w:eastAsia="es-MX"/>
        </w:rPr>
      </w:pPr>
      <w:r>
        <w:rPr>
          <w:rFonts w:ascii="Comfortaa Light" w:hAnsi="Comfortaa Light"/>
          <w:sz w:val="20"/>
          <w:szCs w:val="20"/>
          <w:lang w:val="es-MX" w:eastAsia="es-MX"/>
        </w:rPr>
        <w:t>Adjunto a este contrato irán las facturas de compraventa que contienen la cantidad de árboles adquiridos, ubicación y demás información relacionada a tu compra.</w:t>
      </w:r>
    </w:p>
    <w:sdt>
      <w:sdtPr>
        <w:docPartObj>
          <w:docPartGallery w:val="Table of Contents"/>
          <w:docPartUnique w:val="true"/>
        </w:docPartObj>
        <w:id w:val="904851175"/>
      </w:sdtPr>
      <w:sdtContent>
        <w:p>
          <w:pPr>
            <w:pStyle w:val="TOCHeading"/>
            <w:rPr/>
          </w:pPr>
          <w:r>
            <w:rPr/>
            <w:t>Contenido</w:t>
          </w:r>
        </w:p>
        <w:p>
          <w:pPr>
            <w:pStyle w:val="Sumario1"/>
            <w:tabs>
              <w:tab w:val="right" w:pos="9350" w:leader="dot"/>
            </w:tabs>
            <w:rPr>
              <w:rFonts w:eastAsia="" w:eastAsiaTheme="minorEastAsia"/>
              <w:lang w:val="es-MX" w:eastAsia="es-MX"/>
            </w:rPr>
          </w:pPr>
          <w:r>
            <w:fldChar w:fldCharType="begin"/>
          </w:r>
          <w:r>
            <w:rPr>
              <w:webHidden/>
              <w:rStyle w:val="Enlacedelndice"/>
              <w:spacing w:val="5"/>
              <w:iCs/>
            </w:rPr>
            <w:instrText> TOC \z \o "1-3" \u \h</w:instrText>
          </w:r>
          <w:r>
            <w:rPr>
              <w:webHidden/>
              <w:rStyle w:val="Enlacedelndice"/>
              <w:spacing w:val="5"/>
              <w:iCs/>
            </w:rPr>
            <w:fldChar w:fldCharType="separate"/>
          </w:r>
          <w:hyperlink w:anchor="_Toc74153367">
            <w:r>
              <w:rPr>
                <w:webHidden/>
                <w:rStyle w:val="Enlacedelndice"/>
                <w:iCs/>
                <w:spacing w:val="5"/>
              </w:rPr>
              <w:t>Introducción</w:t>
            </w:r>
            <w:r>
              <w:rPr>
                <w:webHidden/>
              </w:rPr>
              <w:fldChar w:fldCharType="begin"/>
            </w:r>
            <w:r>
              <w:rPr>
                <w:webHidden/>
              </w:rPr>
              <w:instrText>PAGEREF _Toc74153367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8">
            <w:r>
              <w:rPr>
                <w:webHidden/>
                <w:rStyle w:val="Enlacedelndice"/>
              </w:rPr>
              <w:t>Capítulo 1: Vocabulario:</w:t>
            </w:r>
            <w:r>
              <w:rPr>
                <w:webHidden/>
              </w:rPr>
              <w:fldChar w:fldCharType="begin"/>
            </w:r>
            <w:r>
              <w:rPr>
                <w:webHidden/>
              </w:rPr>
              <w:instrText>PAGEREF _Toc74153368 \h</w:instrText>
            </w:r>
            <w:r>
              <w:rPr>
                <w:webHidden/>
              </w:rPr>
              <w:fldChar w:fldCharType="separate"/>
            </w:r>
            <w:r>
              <w:rPr>
                <w:rStyle w:val="Enlacedelndice"/>
                <w:vanish w:val="false"/>
              </w:rPr>
              <w:tab/>
              <w:t>2</w:t>
            </w:r>
            <w:r>
              <w:rPr>
                <w:webHidden/>
              </w:rPr>
              <w:fldChar w:fldCharType="end"/>
            </w:r>
          </w:hyperlink>
        </w:p>
        <w:p>
          <w:pPr>
            <w:pStyle w:val="Sumario1"/>
            <w:tabs>
              <w:tab w:val="right" w:pos="9350" w:leader="dot"/>
            </w:tabs>
            <w:rPr>
              <w:rFonts w:eastAsia="" w:eastAsiaTheme="minorEastAsia"/>
              <w:lang w:val="es-MX" w:eastAsia="es-MX"/>
            </w:rPr>
          </w:pPr>
          <w:hyperlink w:anchor="_Toc74153369">
            <w:r>
              <w:rPr>
                <w:webHidden/>
                <w:rStyle w:val="Enlacedelndice"/>
              </w:rPr>
              <w:t>Capítulo 2: Comisión por parte de Treeconomy:</w:t>
            </w:r>
            <w:r>
              <w:rPr>
                <w:webHidden/>
              </w:rPr>
              <w:fldChar w:fldCharType="begin"/>
            </w:r>
            <w:r>
              <w:rPr>
                <w:webHidden/>
              </w:rPr>
              <w:instrText>PAGEREF _Toc74153369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0">
            <w:r>
              <w:rPr>
                <w:webHidden/>
                <w:rStyle w:val="Enlacedelndice"/>
              </w:rPr>
              <w:t>Capítulo 3: Crear una cuenta de comprador</w:t>
            </w:r>
            <w:r>
              <w:rPr>
                <w:webHidden/>
              </w:rPr>
              <w:fldChar w:fldCharType="begin"/>
            </w:r>
            <w:r>
              <w:rPr>
                <w:webHidden/>
              </w:rPr>
              <w:instrText>PAGEREF _Toc74153370 \h</w:instrText>
            </w:r>
            <w:r>
              <w:rPr>
                <w:webHidden/>
              </w:rPr>
              <w:fldChar w:fldCharType="separate"/>
            </w:r>
            <w:r>
              <w:rPr>
                <w:rStyle w:val="Enlacedelndice"/>
                <w:vanish w:val="false"/>
              </w:rPr>
              <w:tab/>
              <w:t>4</w:t>
            </w:r>
            <w:r>
              <w:rPr>
                <w:webHidden/>
              </w:rPr>
              <w:fldChar w:fldCharType="end"/>
            </w:r>
          </w:hyperlink>
        </w:p>
        <w:p>
          <w:pPr>
            <w:pStyle w:val="Sumario1"/>
            <w:tabs>
              <w:tab w:val="right" w:pos="9350" w:leader="dot"/>
            </w:tabs>
            <w:rPr>
              <w:rFonts w:eastAsia="" w:eastAsiaTheme="minorEastAsia"/>
              <w:lang w:val="es-MX" w:eastAsia="es-MX"/>
            </w:rPr>
          </w:pPr>
          <w:hyperlink w:anchor="_Toc74153371">
            <w:r>
              <w:rPr>
                <w:webHidden/>
                <w:rStyle w:val="Enlacedelndice"/>
                <w:iCs/>
                <w:spacing w:val="5"/>
              </w:rPr>
              <w:t>Capítulo 4: La Compra de Arboles</w:t>
            </w:r>
            <w:r>
              <w:rPr>
                <w:webHidden/>
              </w:rPr>
              <w:fldChar w:fldCharType="begin"/>
            </w:r>
            <w:r>
              <w:rPr>
                <w:webHidden/>
              </w:rPr>
              <w:instrText>PAGEREF _Toc74153371 \h</w:instrText>
            </w:r>
            <w:r>
              <w:rPr>
                <w:webHidden/>
              </w:rPr>
              <w:fldChar w:fldCharType="separate"/>
            </w:r>
            <w:r>
              <w:rPr>
                <w:rStyle w:val="Enlacedelndice"/>
                <w:vanish w:val="false"/>
              </w:rPr>
              <w:tab/>
              <w:t>5</w:t>
            </w:r>
            <w:r>
              <w:rPr>
                <w:webHidden/>
              </w:rPr>
              <w:fldChar w:fldCharType="end"/>
            </w:r>
          </w:hyperlink>
        </w:p>
        <w:p>
          <w:pPr>
            <w:pStyle w:val="Sumario1"/>
            <w:tabs>
              <w:tab w:val="right" w:pos="9350" w:leader="dot"/>
            </w:tabs>
            <w:rPr>
              <w:rFonts w:eastAsia="" w:eastAsiaTheme="minorEastAsia"/>
              <w:lang w:val="es-MX" w:eastAsia="es-MX"/>
            </w:rPr>
          </w:pPr>
          <w:hyperlink w:anchor="_Toc74153372">
            <w:r>
              <w:rPr>
                <w:webHidden/>
                <w:rStyle w:val="Enlacedelndice"/>
                <w:rFonts w:eastAsia="Times New Roman"/>
                <w:lang w:eastAsia="es-MX"/>
              </w:rPr>
              <w:t>Capítulo 5: Seguros</w:t>
            </w:r>
            <w:r>
              <w:rPr>
                <w:webHidden/>
              </w:rPr>
              <w:fldChar w:fldCharType="begin"/>
            </w:r>
            <w:r>
              <w:rPr>
                <w:webHidden/>
              </w:rPr>
              <w:instrText>PAGEREF _Toc74153372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3">
            <w:r>
              <w:rPr>
                <w:webHidden/>
                <w:rStyle w:val="Enlacedelndice"/>
                <w:iCs/>
                <w:spacing w:val="5"/>
              </w:rPr>
              <w:t>Capítulo</w:t>
            </w:r>
            <w:r>
              <w:rPr>
                <w:rStyle w:val="Enlacedelndice"/>
                <w:b/>
                <w:bCs/>
                <w:iCs/>
                <w:spacing w:val="5"/>
              </w:rPr>
              <w:t xml:space="preserve"> </w:t>
            </w:r>
            <w:r>
              <w:rPr>
                <w:rStyle w:val="Enlacedelndice"/>
                <w:iCs/>
                <w:spacing w:val="5"/>
              </w:rPr>
              <w:t>6: Designar un tercero de confianza</w:t>
            </w:r>
            <w:r>
              <w:rPr>
                <w:webHidden/>
              </w:rPr>
              <w:fldChar w:fldCharType="begin"/>
            </w:r>
            <w:r>
              <w:rPr>
                <w:webHidden/>
              </w:rPr>
              <w:instrText>PAGEREF _Toc74153373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4">
            <w:r>
              <w:rPr>
                <w:webHidden/>
                <w:rStyle w:val="Enlacedelndice"/>
                <w:iCs/>
                <w:spacing w:val="5"/>
              </w:rPr>
              <w:t>Capítulo 7: Proceso de Compra</w:t>
            </w:r>
            <w:r>
              <w:rPr>
                <w:webHidden/>
              </w:rPr>
              <w:fldChar w:fldCharType="begin"/>
            </w:r>
            <w:r>
              <w:rPr>
                <w:webHidden/>
              </w:rPr>
              <w:instrText>PAGEREF _Toc74153374 \h</w:instrText>
            </w:r>
            <w:r>
              <w:rPr>
                <w:webHidden/>
              </w:rPr>
              <w:fldChar w:fldCharType="separate"/>
            </w:r>
            <w:r>
              <w:rPr>
                <w:rStyle w:val="Enlacedelndice"/>
                <w:vanish w:val="false"/>
              </w:rPr>
              <w:tab/>
              <w:t>6</w:t>
            </w:r>
            <w:r>
              <w:rPr>
                <w:webHidden/>
              </w:rPr>
              <w:fldChar w:fldCharType="end"/>
            </w:r>
          </w:hyperlink>
        </w:p>
        <w:p>
          <w:pPr>
            <w:pStyle w:val="Sumario1"/>
            <w:tabs>
              <w:tab w:val="right" w:pos="9350" w:leader="dot"/>
            </w:tabs>
            <w:rPr>
              <w:rFonts w:eastAsia="" w:eastAsiaTheme="minorEastAsia"/>
              <w:lang w:val="es-MX" w:eastAsia="es-MX"/>
            </w:rPr>
          </w:pPr>
          <w:hyperlink w:anchor="_Toc74153375">
            <w:r>
              <w:rPr>
                <w:webHidden/>
                <w:rStyle w:val="Enlacedelndice"/>
                <w:iCs/>
                <w:spacing w:val="5"/>
              </w:rPr>
              <w:t>Capítulo 8: envío y entrega</w:t>
            </w:r>
            <w:r>
              <w:rPr>
                <w:webHidden/>
              </w:rPr>
              <w:fldChar w:fldCharType="begin"/>
            </w:r>
            <w:r>
              <w:rPr>
                <w:webHidden/>
              </w:rPr>
              <w:instrText>PAGEREF _Toc74153375 \h</w:instrText>
            </w:r>
            <w:r>
              <w:rPr>
                <w:webHidden/>
              </w:rPr>
              <w:fldChar w:fldCharType="separate"/>
            </w:r>
            <w:r>
              <w:rPr>
                <w:rStyle w:val="Enlacedelndice"/>
                <w:vanish w:val="false"/>
              </w:rPr>
              <w:tab/>
              <w:t>7</w:t>
            </w:r>
            <w:r>
              <w:rPr>
                <w:webHidden/>
              </w:rPr>
              <w:fldChar w:fldCharType="end"/>
            </w:r>
          </w:hyperlink>
        </w:p>
        <w:p>
          <w:pPr>
            <w:pStyle w:val="Sumario1"/>
            <w:tabs>
              <w:tab w:val="right" w:pos="9350" w:leader="dot"/>
            </w:tabs>
            <w:rPr>
              <w:rFonts w:eastAsia="" w:eastAsiaTheme="minorEastAsia"/>
              <w:lang w:val="es-MX" w:eastAsia="es-MX"/>
            </w:rPr>
          </w:pPr>
          <w:hyperlink w:anchor="_Toc74153376">
            <w:r>
              <w:rPr>
                <w:webHidden/>
                <w:rStyle w:val="Enlacedelndice"/>
                <w:iCs/>
                <w:spacing w:val="5"/>
              </w:rPr>
              <w:t>Capítulo 9: Prueba</w:t>
            </w:r>
            <w:r>
              <w:rPr>
                <w:webHidden/>
              </w:rPr>
              <w:fldChar w:fldCharType="begin"/>
            </w:r>
            <w:r>
              <w:rPr>
                <w:webHidden/>
              </w:rPr>
              <w:instrText>PAGEREF _Toc74153376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7">
            <w:r>
              <w:rPr>
                <w:webHidden/>
                <w:rStyle w:val="Enlacedelndice"/>
                <w:iCs/>
                <w:spacing w:val="5"/>
              </w:rPr>
              <w:t>Capítulo 10: derecho de desistimiento</w:t>
            </w:r>
            <w:r>
              <w:rPr>
                <w:webHidden/>
              </w:rPr>
              <w:fldChar w:fldCharType="begin"/>
            </w:r>
            <w:r>
              <w:rPr>
                <w:webHidden/>
              </w:rPr>
              <w:instrText>PAGEREF _Toc74153377 \h</w:instrText>
            </w:r>
            <w:r>
              <w:rPr>
                <w:webHidden/>
              </w:rPr>
              <w:fldChar w:fldCharType="separate"/>
            </w:r>
            <w:r>
              <w:rPr>
                <w:rStyle w:val="Enlacedelndice"/>
                <w:vanish w:val="false"/>
              </w:rPr>
              <w:tab/>
              <w:t>8</w:t>
            </w:r>
            <w:r>
              <w:rPr>
                <w:webHidden/>
              </w:rPr>
              <w:fldChar w:fldCharType="end"/>
            </w:r>
          </w:hyperlink>
        </w:p>
        <w:p>
          <w:pPr>
            <w:pStyle w:val="Sumario1"/>
            <w:tabs>
              <w:tab w:val="right" w:pos="9350" w:leader="dot"/>
            </w:tabs>
            <w:rPr>
              <w:rFonts w:eastAsia="" w:eastAsiaTheme="minorEastAsia"/>
              <w:lang w:val="es-MX" w:eastAsia="es-MX"/>
            </w:rPr>
          </w:pPr>
          <w:hyperlink w:anchor="_Toc74153378">
            <w:r>
              <w:rPr>
                <w:webHidden/>
                <w:rStyle w:val="Enlacedelndice"/>
                <w:iCs/>
                <w:spacing w:val="5"/>
              </w:rPr>
              <w:t>Capítulo 11: El uso del servicio de comentarios en línea.</w:t>
            </w:r>
            <w:r>
              <w:rPr>
                <w:webHidden/>
              </w:rPr>
              <w:fldChar w:fldCharType="begin"/>
            </w:r>
            <w:r>
              <w:rPr>
                <w:webHidden/>
              </w:rPr>
              <w:instrText>PAGEREF _Toc74153378 \h</w:instrText>
            </w:r>
            <w:r>
              <w:rPr>
                <w:webHidden/>
              </w:rPr>
              <w:fldChar w:fldCharType="separate"/>
            </w:r>
            <w:r>
              <w:rPr>
                <w:rStyle w:val="Enlacedelndice"/>
                <w:vanish w:val="false"/>
              </w:rPr>
              <w:tab/>
              <w:t>9</w:t>
            </w:r>
            <w:r>
              <w:rPr>
                <w:webHidden/>
              </w:rPr>
              <w:fldChar w:fldCharType="end"/>
            </w:r>
          </w:hyperlink>
        </w:p>
        <w:p>
          <w:pPr>
            <w:pStyle w:val="Sumario1"/>
            <w:tabs>
              <w:tab w:val="right" w:pos="9350" w:leader="dot"/>
            </w:tabs>
            <w:rPr>
              <w:rFonts w:eastAsia="" w:eastAsiaTheme="minorEastAsia"/>
              <w:lang w:val="es-MX" w:eastAsia="es-MX"/>
            </w:rPr>
          </w:pPr>
          <w:hyperlink w:anchor="_Toc74153379">
            <w:r>
              <w:rPr>
                <w:webHidden/>
                <w:rStyle w:val="Enlacedelndice"/>
                <w:iCs/>
                <w:spacing w:val="5"/>
              </w:rPr>
              <w:t>Capítulo 12: nuestras ofertas</w:t>
            </w:r>
            <w:r>
              <w:rPr>
                <w:webHidden/>
              </w:rPr>
              <w:fldChar w:fldCharType="begin"/>
            </w:r>
            <w:r>
              <w:rPr>
                <w:webHidden/>
              </w:rPr>
              <w:instrText>PAGEREF _Toc74153379 \h</w:instrText>
            </w:r>
            <w:r>
              <w:rPr>
                <w:webHidden/>
              </w:rPr>
              <w:fldChar w:fldCharType="separate"/>
            </w:r>
            <w:r>
              <w:rPr>
                <w:rStyle w:val="Enlacedelndice"/>
                <w:vanish w:val="false"/>
              </w:rPr>
              <w:tab/>
              <w:t>10</w:t>
            </w:r>
            <w:r>
              <w:rPr>
                <w:webHidden/>
              </w:rPr>
              <w:fldChar w:fldCharType="end"/>
            </w:r>
          </w:hyperlink>
        </w:p>
        <w:p>
          <w:pPr>
            <w:pStyle w:val="Sumario1"/>
            <w:tabs>
              <w:tab w:val="right" w:pos="9350" w:leader="dot"/>
            </w:tabs>
            <w:rPr>
              <w:rFonts w:eastAsia="" w:eastAsiaTheme="minorEastAsia"/>
              <w:lang w:val="es-MX" w:eastAsia="es-MX"/>
            </w:rPr>
          </w:pPr>
          <w:hyperlink w:anchor="_Toc74153380">
            <w:r>
              <w:rPr>
                <w:webHidden/>
                <w:rStyle w:val="Enlacedelndice"/>
                <w:iCs/>
                <w:spacing w:val="5"/>
              </w:rPr>
              <w:t>Capítulo 13: La naturaleza legal de la relación contractual entre Treeconomy y sus clientes.</w:t>
            </w:r>
            <w:r>
              <w:rPr>
                <w:webHidden/>
              </w:rPr>
              <w:fldChar w:fldCharType="begin"/>
            </w:r>
            <w:r>
              <w:rPr>
                <w:webHidden/>
              </w:rPr>
              <w:instrText>PAGEREF _Toc74153380 \h</w:instrText>
            </w:r>
            <w:r>
              <w:rPr>
                <w:webHidden/>
              </w:rPr>
              <w:fldChar w:fldCharType="separate"/>
            </w:r>
            <w:r>
              <w:rPr>
                <w:rStyle w:val="Enlacedelndice"/>
                <w:vanish w:val="false"/>
              </w:rPr>
              <w:tab/>
              <w:t>12</w:t>
            </w:r>
            <w:r>
              <w:rPr>
                <w:webHidden/>
              </w:rPr>
              <w:fldChar w:fldCharType="end"/>
            </w:r>
          </w:hyperlink>
        </w:p>
        <w:p>
          <w:pPr>
            <w:pStyle w:val="Sumario1"/>
            <w:tabs>
              <w:tab w:val="right" w:pos="9350" w:leader="dot"/>
            </w:tabs>
            <w:rPr>
              <w:rFonts w:eastAsia="" w:eastAsiaTheme="minorEastAsia"/>
              <w:lang w:val="es-MX" w:eastAsia="es-MX"/>
            </w:rPr>
          </w:pPr>
          <w:hyperlink w:anchor="_Toc74153381">
            <w:r>
              <w:rPr>
                <w:webHidden/>
                <w:rStyle w:val="Enlacedelndice"/>
              </w:rPr>
              <w:t>Capítulo 14: Transferencia anticipada de árboles por parte del Comprador</w:t>
            </w:r>
            <w:r>
              <w:rPr>
                <w:webHidden/>
              </w:rPr>
              <w:fldChar w:fldCharType="begin"/>
            </w:r>
            <w:r>
              <w:rPr>
                <w:webHidden/>
              </w:rPr>
              <w:instrText>PAGEREF _Toc74153381 \h</w:instrText>
            </w:r>
            <w:r>
              <w:rPr>
                <w:webHidden/>
              </w:rPr>
              <w:fldChar w:fldCharType="separate"/>
            </w:r>
            <w:r>
              <w:rPr>
                <w:rStyle w:val="Enlacedelndice"/>
                <w:vanish w:val="false"/>
              </w:rPr>
              <w:tab/>
              <w:t>14</w:t>
            </w:r>
            <w:r>
              <w:rPr>
                <w:webHidden/>
              </w:rPr>
              <w:fldChar w:fldCharType="end"/>
            </w:r>
          </w:hyperlink>
        </w:p>
        <w:p>
          <w:pPr>
            <w:pStyle w:val="Sumario1"/>
            <w:tabs>
              <w:tab w:val="right" w:pos="9350" w:leader="dot"/>
            </w:tabs>
            <w:rPr>
              <w:rFonts w:eastAsia="" w:eastAsiaTheme="minorEastAsia"/>
              <w:lang w:val="es-MX" w:eastAsia="es-MX"/>
            </w:rPr>
          </w:pPr>
          <w:hyperlink w:anchor="_Toc74153382">
            <w:r>
              <w:rPr>
                <w:webHidden/>
                <w:rStyle w:val="Enlacedelndice"/>
                <w:rFonts w:eastAsia="Times New Roman"/>
                <w:lang w:eastAsia="es-MX"/>
              </w:rPr>
              <w:t>Capítulo 15: Pago</w:t>
            </w:r>
            <w:r>
              <w:rPr>
                <w:webHidden/>
              </w:rPr>
              <w:fldChar w:fldCharType="begin"/>
            </w:r>
            <w:r>
              <w:rPr>
                <w:webHidden/>
              </w:rPr>
              <w:instrText>PAGEREF _Toc74153382 \h</w:instrText>
            </w:r>
            <w:r>
              <w:rPr>
                <w:webHidden/>
              </w:rPr>
              <w:fldChar w:fldCharType="separate"/>
            </w:r>
            <w:r>
              <w:rPr>
                <w:rStyle w:val="Enlacedelndice"/>
                <w:vanish w:val="false"/>
              </w:rPr>
              <w:tab/>
              <w:t>15</w:t>
            </w:r>
            <w:r>
              <w:rPr>
                <w:webHidden/>
              </w:rPr>
              <w:fldChar w:fldCharType="end"/>
            </w:r>
          </w:hyperlink>
        </w:p>
        <w:p>
          <w:pPr>
            <w:pStyle w:val="Sumario1"/>
            <w:tabs>
              <w:tab w:val="right" w:pos="9350" w:leader="dot"/>
            </w:tabs>
            <w:rPr>
              <w:rFonts w:eastAsia="" w:eastAsiaTheme="minorEastAsia"/>
              <w:lang w:val="es-MX" w:eastAsia="es-MX"/>
            </w:rPr>
          </w:pPr>
          <w:hyperlink w:anchor="_Toc74153383">
            <w:r>
              <w:rPr>
                <w:webHidden/>
                <w:rStyle w:val="Enlacedelndice"/>
                <w:rFonts w:eastAsia="Times New Roman"/>
                <w:lang w:eastAsia="es-MX"/>
              </w:rPr>
              <w:t>Capítulo 16: propiedad intelectual</w:t>
            </w:r>
            <w:r>
              <w:rPr>
                <w:webHidden/>
              </w:rPr>
              <w:fldChar w:fldCharType="begin"/>
            </w:r>
            <w:r>
              <w:rPr>
                <w:webHidden/>
              </w:rPr>
              <w:instrText>PAGEREF _Toc74153383 \h</w:instrText>
            </w:r>
            <w:r>
              <w:rPr>
                <w:webHidden/>
              </w:rPr>
              <w:fldChar w:fldCharType="separate"/>
            </w:r>
            <w:r>
              <w:rPr>
                <w:rStyle w:val="Enlacedelndice"/>
                <w:vanish w:val="false"/>
              </w:rPr>
              <w:tab/>
              <w:t>16</w:t>
            </w:r>
            <w:r>
              <w:rPr>
                <w:webHidden/>
              </w:rPr>
              <w:fldChar w:fldCharType="end"/>
            </w:r>
          </w:hyperlink>
        </w:p>
        <w:p>
          <w:pPr>
            <w:pStyle w:val="Sumario1"/>
            <w:tabs>
              <w:tab w:val="right" w:pos="9350" w:leader="dot"/>
            </w:tabs>
            <w:rPr>
              <w:rFonts w:eastAsia="" w:eastAsiaTheme="minorEastAsia"/>
              <w:lang w:val="es-MX" w:eastAsia="es-MX"/>
            </w:rPr>
          </w:pPr>
          <w:hyperlink w:anchor="_Toc74153384">
            <w:r>
              <w:rPr>
                <w:webHidden/>
                <w:rStyle w:val="Enlacedelndice"/>
                <w:rFonts w:eastAsia="Times New Roman"/>
                <w:lang w:eastAsia="es-MX"/>
              </w:rPr>
              <w:t>Capítulo 17: Uso del sitio web de la empresa Treeconomy</w:t>
            </w:r>
            <w:r>
              <w:rPr>
                <w:webHidden/>
              </w:rPr>
              <w:fldChar w:fldCharType="begin"/>
            </w:r>
            <w:r>
              <w:rPr>
                <w:webHidden/>
              </w:rPr>
              <w:instrText>PAGEREF _Toc74153384 \h</w:instrText>
            </w:r>
            <w:r>
              <w:rPr>
                <w:webHidden/>
              </w:rPr>
              <w:fldChar w:fldCharType="separate"/>
            </w:r>
            <w:r>
              <w:rPr>
                <w:rStyle w:val="Enlacedelndice"/>
                <w:vanish w:val="false"/>
              </w:rPr>
              <w:tab/>
              <w:t>17</w:t>
            </w:r>
            <w:r>
              <w:rPr>
                <w:webHidden/>
              </w:rPr>
              <w:fldChar w:fldCharType="end"/>
            </w:r>
          </w:hyperlink>
        </w:p>
        <w:p>
          <w:pPr>
            <w:pStyle w:val="Sumario1"/>
            <w:tabs>
              <w:tab w:val="right" w:pos="9350" w:leader="dot"/>
            </w:tabs>
            <w:rPr>
              <w:rFonts w:eastAsia="" w:eastAsiaTheme="minorEastAsia"/>
              <w:lang w:val="es-MX" w:eastAsia="es-MX"/>
            </w:rPr>
          </w:pPr>
          <w:hyperlink w:anchor="_Toc74153385">
            <w:r>
              <w:rPr>
                <w:webHidden/>
                <w:rStyle w:val="Enlacedelndice"/>
                <w:rFonts w:eastAsia="Times New Roman"/>
                <w:lang w:eastAsia="es-MX"/>
              </w:rPr>
              <w:t>Capítulo 18: Protección de datos personales.</w:t>
            </w:r>
            <w:r>
              <w:rPr>
                <w:webHidden/>
              </w:rPr>
              <w:fldChar w:fldCharType="begin"/>
            </w:r>
            <w:r>
              <w:rPr>
                <w:webHidden/>
              </w:rPr>
              <w:instrText>PAGEREF _Toc74153385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6">
            <w:r>
              <w:rPr>
                <w:webHidden/>
                <w:rStyle w:val="Enlacedelndice"/>
                <w:rFonts w:eastAsia="Times New Roman"/>
                <w:lang w:eastAsia="es-MX"/>
              </w:rPr>
              <w:t>Capítulo 19: Ley aplicable y jurisdicciones</w:t>
            </w:r>
            <w:r>
              <w:rPr>
                <w:webHidden/>
              </w:rPr>
              <w:fldChar w:fldCharType="begin"/>
            </w:r>
            <w:r>
              <w:rPr>
                <w:webHidden/>
              </w:rPr>
              <w:instrText>PAGEREF _Toc74153386 \h</w:instrText>
            </w:r>
            <w:r>
              <w:rPr>
                <w:webHidden/>
              </w:rPr>
              <w:fldChar w:fldCharType="separate"/>
            </w:r>
            <w:r>
              <w:rPr>
                <w:rStyle w:val="Enlacedelndice"/>
                <w:vanish w:val="false"/>
              </w:rPr>
              <w:tab/>
              <w:t>18</w:t>
            </w:r>
            <w:r>
              <w:rPr>
                <w:webHidden/>
              </w:rPr>
              <w:fldChar w:fldCharType="end"/>
            </w:r>
          </w:hyperlink>
        </w:p>
        <w:p>
          <w:pPr>
            <w:pStyle w:val="Sumario1"/>
            <w:tabs>
              <w:tab w:val="right" w:pos="9350" w:leader="dot"/>
            </w:tabs>
            <w:rPr>
              <w:rFonts w:eastAsia="" w:eastAsiaTheme="minorEastAsia"/>
              <w:lang w:val="es-MX" w:eastAsia="es-MX"/>
            </w:rPr>
          </w:pPr>
          <w:hyperlink w:anchor="_Toc74153387">
            <w:r>
              <w:rPr>
                <w:webHidden/>
                <w:rStyle w:val="Enlacedelndice"/>
                <w:rFonts w:eastAsia="Times New Roman"/>
                <w:lang w:eastAsia="es-MX"/>
              </w:rPr>
              <w:t>Capítulo 20: Fuerza mayor</w:t>
            </w:r>
            <w:r>
              <w:rPr>
                <w:webHidden/>
              </w:rPr>
              <w:fldChar w:fldCharType="begin"/>
            </w:r>
            <w:r>
              <w:rPr>
                <w:webHidden/>
              </w:rPr>
              <w:instrText>PAGEREF _Toc74153387 \h</w:instrText>
            </w:r>
            <w:r>
              <w:rPr>
                <w:webHidden/>
              </w:rPr>
              <w:fldChar w:fldCharType="separate"/>
            </w:r>
            <w:r>
              <w:rPr>
                <w:rStyle w:val="Enlacedelndice"/>
                <w:vanish w:val="false"/>
              </w:rPr>
              <w:tab/>
              <w:t>19</w:t>
            </w:r>
            <w:r>
              <w:rPr>
                <w:webHidden/>
              </w:rPr>
              <w:fldChar w:fldCharType="end"/>
            </w:r>
          </w:hyperlink>
        </w:p>
        <w:p>
          <w:pPr>
            <w:pStyle w:val="Sumario1"/>
            <w:tabs>
              <w:tab w:val="right" w:pos="9350" w:leader="dot"/>
            </w:tabs>
            <w:rPr>
              <w:rFonts w:eastAsia="" w:eastAsiaTheme="minorEastAsia"/>
              <w:lang w:val="es-MX" w:eastAsia="es-MX"/>
            </w:rPr>
          </w:pPr>
          <w:hyperlink w:anchor="_Toc74153388">
            <w:r>
              <w:rPr>
                <w:webHidden/>
                <w:rStyle w:val="Enlacedelndice"/>
                <w:rFonts w:eastAsia="Times New Roman"/>
                <w:lang w:eastAsia="es-MX"/>
              </w:rPr>
              <w:t>Capítulo 22: riesgos</w:t>
            </w:r>
            <w:r>
              <w:rPr>
                <w:webHidden/>
              </w:rPr>
              <w:fldChar w:fldCharType="begin"/>
            </w:r>
            <w:r>
              <w:rPr>
                <w:webHidden/>
              </w:rPr>
              <w:instrText>PAGEREF _Toc74153388 \h</w:instrText>
            </w:r>
            <w:r>
              <w:rPr>
                <w:webHidden/>
              </w:rPr>
              <w:fldChar w:fldCharType="separate"/>
            </w:r>
            <w:r>
              <w:rPr>
                <w:rStyle w:val="Enlacedelndice"/>
                <w:vanish w:val="false"/>
              </w:rPr>
              <w:tab/>
              <w:t>20</w:t>
            </w:r>
            <w:r>
              <w:rPr>
                <w:webHidden/>
              </w:rPr>
              <w:fldChar w:fldCharType="end"/>
            </w:r>
          </w:hyperlink>
        </w:p>
        <w:p>
          <w:pPr>
            <w:pStyle w:val="Sumario1"/>
            <w:tabs>
              <w:tab w:val="right" w:pos="9350" w:leader="dot"/>
            </w:tabs>
            <w:rPr>
              <w:rFonts w:eastAsia="" w:eastAsiaTheme="minorEastAsia"/>
              <w:lang w:val="es-MX" w:eastAsia="es-MX"/>
            </w:rPr>
          </w:pPr>
          <w:hyperlink w:anchor="_Toc74153389">
            <w:r>
              <w:rPr>
                <w:webHidden/>
                <w:rStyle w:val="Enlacedelndice"/>
                <w:rFonts w:eastAsia="Times New Roman"/>
                <w:lang w:eastAsia="es-MX"/>
              </w:rPr>
              <w:t>Capítulo 23: Estipulación para terceros.</w:t>
            </w:r>
            <w:r>
              <w:rPr>
                <w:webHidden/>
              </w:rPr>
              <w:fldChar w:fldCharType="begin"/>
            </w:r>
            <w:r>
              <w:rPr>
                <w:webHidden/>
              </w:rPr>
              <w:instrText>PAGEREF _Toc74153389 \h</w:instrText>
            </w:r>
            <w:r>
              <w:rPr>
                <w:webHidden/>
              </w:rPr>
              <w:fldChar w:fldCharType="separate"/>
            </w:r>
            <w:r>
              <w:rPr>
                <w:rStyle w:val="Enlacedelndice"/>
                <w:vanish w:val="false"/>
              </w:rPr>
              <w:tab/>
              <w:t>22</w:t>
            </w:r>
            <w:r>
              <w:rPr>
                <w:webHidden/>
              </w:rPr>
              <w:fldChar w:fldCharType="end"/>
            </w:r>
          </w:hyperlink>
        </w:p>
        <w:p>
          <w:pPr>
            <w:pStyle w:val="Sumario1"/>
            <w:tabs>
              <w:tab w:val="right" w:pos="9350" w:leader="dot"/>
            </w:tabs>
            <w:rPr>
              <w:rFonts w:eastAsia="" w:eastAsiaTheme="minorEastAsia"/>
              <w:lang w:val="es-MX" w:eastAsia="es-MX"/>
            </w:rPr>
          </w:pPr>
          <w:hyperlink w:anchor="_Toc74153390">
            <w:r>
              <w:rPr>
                <w:webHidden/>
                <w:rStyle w:val="Enlacedelndice"/>
                <w:rFonts w:eastAsia="Times New Roman"/>
                <w:lang w:eastAsia="es-MX"/>
              </w:rPr>
              <w:t>Capítulo 24: disposiciones finales</w:t>
            </w:r>
            <w:r>
              <w:rPr>
                <w:webHidden/>
              </w:rPr>
              <w:fldChar w:fldCharType="begin"/>
            </w:r>
            <w:r>
              <w:rPr>
                <w:webHidden/>
              </w:rPr>
              <w:instrText>PAGEREF _Toc74153390 \h</w:instrText>
            </w:r>
            <w:r>
              <w:rPr>
                <w:webHidden/>
              </w:rPr>
              <w:fldChar w:fldCharType="separate"/>
            </w:r>
            <w:r>
              <w:rPr>
                <w:rStyle w:val="Enlacedelndice"/>
                <w:vanish w:val="false"/>
              </w:rPr>
              <w:tab/>
              <w:t>22</w:t>
            </w:r>
            <w:r>
              <w:rPr>
                <w:webHidden/>
              </w:rPr>
              <w:fldChar w:fldCharType="end"/>
            </w:r>
          </w:hyperlink>
        </w:p>
        <w:p>
          <w:pPr>
            <w:pStyle w:val="Normal"/>
            <w:rPr>
              <w:b/>
              <w:b/>
              <w:bCs/>
              <w:lang w:val="es-ES"/>
            </w:rPr>
          </w:pPr>
          <w:r>
            <w:rPr>
              <w:b/>
              <w:bCs/>
              <w:lang w:val="es-ES"/>
            </w:rPr>
          </w:r>
          <w:r>
            <w:rPr>
              <w:b/>
              <w:bCs/>
            </w:rPr>
            <w:fldChar w:fldCharType="end"/>
          </w:r>
        </w:p>
      </w:sdtContent>
    </w:sdt>
    <w:p>
      <w:pPr>
        <w:pStyle w:val="Ttulo1"/>
        <w:rPr>
          <w:rStyle w:val="BookTitle"/>
          <w:b w:val="false"/>
          <w:b w:val="false"/>
          <w:bCs w:val="false"/>
        </w:rPr>
      </w:pPr>
      <w:bookmarkStart w:id="1" w:name="_Toc74153367"/>
      <w:r>
        <w:rPr>
          <w:rStyle w:val="BookTitle"/>
          <w:b w:val="false"/>
          <w:bCs w:val="false"/>
        </w:rPr>
        <w:t>Introducción</w:t>
      </w:r>
      <w:bookmarkEnd w:id="1"/>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Estos Términos y condiciones generales se aplican sin reservas ni restricciones a todos los servicios ofrecidos por Treeconomy en este sitio web, es decir, varias ofertas para la compra de árboles por parte de personas naturales y jurídicas.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Treeconomy ofrece la adquisición de varias especies distribuidas en diferentes áreas forestales, ya sea como una adquisición única o como una suscripción mensual recurrente.</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propósito de estos Términos y condiciones generales de venta es definir las condiciones de uso del sitio web Treeconomy y las relaciones contractuales establecidas entre el sitio web de la empresa y los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la compra y chequear la casilla de verificación antes de pagar se considera que acepta los Términos y condiciones generales en su totalidad. Los cambios a estos Términos y condiciones generales son exigibles para los usuarios del sitio desde el momento en que se publican, pero no se pueden aplicar a las transacciones concluidas anteriormente.</w:t>
      </w:r>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Style w:val="Ttulo1Car"/>
        </w:rPr>
      </w:pPr>
      <w:bookmarkStart w:id="2" w:name="_Toc74153368"/>
      <w:r>
        <w:rPr>
          <w:rStyle w:val="Ttulo1Car"/>
        </w:rPr>
        <w:t>Capítulo 1: Vocabulario:</w:t>
      </w:r>
      <w:bookmarkEnd w:id="2"/>
    </w:p>
    <w:p>
      <w:pPr>
        <w:pStyle w:val="Normal"/>
        <w:shd w:val="clear" w:color="auto" w:fill="FFFFFF"/>
        <w:spacing w:lineRule="auto" w:line="240" w:before="0" w:after="100"/>
        <w:jc w:val="both"/>
        <w:rPr>
          <w:rFonts w:ascii="Comfortaa Light" w:hAnsi="Comfortaa Light" w:eastAsia="Times New Roman" w:cs="Arial"/>
          <w:i/>
          <w:i/>
          <w:iCs/>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Treeconomy: La definición en el contrato para la empresa Treeconomy, Icn.</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Producto: se </w:t>
      </w:r>
      <w:r>
        <w:rPr>
          <w:rFonts w:eastAsia="Times New Roman" w:cs="Arial" w:ascii="Comfortaa Light" w:hAnsi="Comfortaa Light"/>
          <w:color w:val="000000" w:themeColor="text1"/>
          <w:sz w:val="24"/>
          <w:szCs w:val="24"/>
          <w:lang w:val="es-MX" w:eastAsia="es-MX"/>
        </w:rPr>
        <w:t>refiere a un árbol, tanto a su especie como al área forestal donde se encuentra (incluidas sus coordenadas GPS). </w:t>
      </w:r>
    </w:p>
    <w:p>
      <w:pPr>
        <w:pStyle w:val="Normal"/>
        <w:shd w:val="clear" w:color="auto" w:fill="FFFFFF"/>
        <w:spacing w:lineRule="auto" w:line="240" w:before="0" w:after="100"/>
        <w:jc w:val="both"/>
        <w:rPr>
          <w:rFonts w:ascii="Comfortaa" w:hAnsi="Comfortaa" w:eastAsia="" w:cs="" w:cstheme="majorBidi" w:eastAsiaTheme="majorEastAsia"/>
          <w:i/>
          <w:i/>
          <w:color w:val="035941"/>
          <w:sz w:val="32"/>
          <w:szCs w:val="32"/>
          <w:lang w:val="es-MX"/>
        </w:rPr>
      </w:pPr>
      <w:r>
        <w:rPr>
          <w:rFonts w:eastAsia="Times New Roman" w:cs="Arial" w:ascii="Comfortaa Light" w:hAnsi="Comfortaa Light"/>
          <w:i/>
          <w:iCs/>
          <w:color w:val="000000" w:themeColor="text1"/>
          <w:sz w:val="24"/>
          <w:szCs w:val="24"/>
          <w:lang w:val="es-MX" w:eastAsia="es-MX"/>
        </w:rPr>
        <w:t>Intercambio de árboles:</w:t>
      </w:r>
      <w:r>
        <w:rPr>
          <w:rFonts w:eastAsia="Times New Roman" w:cs="Arial" w:ascii="Comfortaa Light" w:hAnsi="Comfortaa Light"/>
          <w:color w:val="000000" w:themeColor="text1"/>
          <w:sz w:val="24"/>
          <w:szCs w:val="24"/>
          <w:lang w:val="es-MX" w:eastAsia="es-MX"/>
        </w:rPr>
        <w:t xml:space="preserve"> se refiere a la opción que la plataforma de Treeconomy le da a sus clientes para encontrar un posible comprador de sus arboles antes de la edad de madures.</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Oferta: se </w:t>
      </w:r>
      <w:r>
        <w:rPr>
          <w:rFonts w:eastAsia="Times New Roman" w:cs="Arial" w:ascii="Comfortaa Light" w:hAnsi="Comfortaa Light"/>
          <w:color w:val="000000" w:themeColor="text1"/>
          <w:sz w:val="24"/>
          <w:szCs w:val="24"/>
          <w:lang w:val="es-MX" w:eastAsia="es-MX"/>
        </w:rPr>
        <w:t>refiere a los diferentes productos en oferta, así como a los términos y condiciones que rigen su adquisición,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Servicios: Se </w:t>
      </w:r>
      <w:r>
        <w:rPr>
          <w:rFonts w:eastAsia="Times New Roman" w:cs="Arial" w:ascii="Comfortaa Light" w:hAnsi="Comfortaa Light"/>
          <w:color w:val="000000" w:themeColor="text1"/>
          <w:sz w:val="24"/>
          <w:szCs w:val="24"/>
          <w:lang w:val="es-MX" w:eastAsia="es-MX"/>
        </w:rPr>
        <w:t>refiere a todos los productos y servicios ofrecidos (incluidas las suscripciones) por Treeconomy en su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Comprador: se </w:t>
      </w:r>
      <w:r>
        <w:rPr>
          <w:rFonts w:eastAsia="Times New Roman" w:cs="Arial" w:ascii="Comfortaa Light" w:hAnsi="Comfortaa Light"/>
          <w:color w:val="000000" w:themeColor="text1"/>
          <w:sz w:val="24"/>
          <w:szCs w:val="24"/>
          <w:lang w:val="es-MX" w:eastAsia="es-MX"/>
        </w:rPr>
        <w:t>refiere a cualquier persona natural o persona jurídica que ha abierto una Cuenta de comprador (también denominada cuenta personal o espacio personal) en nuestro sitio web</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Cliente Comisionista:</w:t>
      </w:r>
      <w:r>
        <w:rPr>
          <w:rFonts w:eastAsia="Times New Roman" w:cs="Arial" w:ascii="Comfortaa Light" w:hAnsi="Comfortaa Light"/>
          <w:color w:val="000000" w:themeColor="text1"/>
          <w:sz w:val="24"/>
          <w:szCs w:val="24"/>
          <w:lang w:val="es-MX" w:eastAsia="es-MX"/>
        </w:rPr>
        <w:t xml:space="preserve"> Treeconomy maneja un sistema de referidos, donde cualquier cliente puede referir nuevos clientes a través de un codigo generado por Treeconomy, dichos referidos generar para el cliente comisionista una Comisión del 3% sobre la venta.</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Cuenta de comprador: se </w:t>
      </w:r>
      <w:r>
        <w:rPr>
          <w:rFonts w:eastAsia="Times New Roman" w:cs="Arial" w:ascii="Comfortaa Light" w:hAnsi="Comfortaa Light"/>
          <w:color w:val="000000" w:themeColor="text1"/>
          <w:sz w:val="24"/>
          <w:szCs w:val="24"/>
          <w:lang w:val="es-MX" w:eastAsia="es-MX"/>
        </w:rPr>
        <w:t>refiere a la parte del sitio web creada por el Comprador, completada con su información personal y solo accesible por el Comprador con el código confidencial emitido a él o ella en la creación de la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Entresaca: se </w:t>
      </w:r>
      <w:r>
        <w:rPr>
          <w:rFonts w:eastAsia="Times New Roman" w:cs="Arial" w:ascii="Comfortaa Light" w:hAnsi="Comfortaa Light"/>
          <w:color w:val="000000" w:themeColor="text1"/>
          <w:sz w:val="24"/>
          <w:szCs w:val="24"/>
          <w:lang w:val="es-MX" w:eastAsia="es-MX"/>
        </w:rPr>
        <w:t>refiere a la tala de un árbol antes de que haya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Madurez: se </w:t>
      </w:r>
      <w:r>
        <w:rPr>
          <w:rFonts w:eastAsia="Times New Roman" w:cs="Arial" w:ascii="Comfortaa Light" w:hAnsi="Comfortaa Light"/>
          <w:color w:val="000000" w:themeColor="text1"/>
          <w:sz w:val="24"/>
          <w:szCs w:val="24"/>
          <w:lang w:val="es-MX" w:eastAsia="es-MX"/>
        </w:rPr>
        <w:t>refiere al final del ciclo de vida de un árbol , cuando está listo para ser cortado y generar madera,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Precio de venta por unidad: se </w:t>
      </w:r>
      <w:r>
        <w:rPr>
          <w:rFonts w:eastAsia="Times New Roman" w:cs="Arial" w:ascii="Comfortaa Light" w:hAnsi="Comfortaa Light"/>
          <w:color w:val="000000" w:themeColor="text1"/>
          <w:sz w:val="24"/>
          <w:szCs w:val="24"/>
          <w:lang w:val="es-MX" w:eastAsia="es-MX"/>
        </w:rPr>
        <w:t>refiere al precio de venta de los árboles en un área forestal en la que los árboles han alcanzado la madurez,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pedido: se </w:t>
      </w:r>
      <w:r>
        <w:rPr>
          <w:rFonts w:eastAsia="Times New Roman" w:cs="Arial" w:ascii="Comfortaa Light" w:hAnsi="Comfortaa Light"/>
          <w:color w:val="000000" w:themeColor="text1"/>
          <w:sz w:val="24"/>
          <w:szCs w:val="24"/>
          <w:lang w:val="es-MX" w:eastAsia="es-MX"/>
        </w:rPr>
        <w:t>refiere a cualquier adquisición de un producto hecho y validado por el comprador en el sitio web de la empresa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Términos y condiciones generales: se </w:t>
      </w:r>
      <w:r>
        <w:rPr>
          <w:rFonts w:eastAsia="Times New Roman" w:cs="Arial" w:ascii="Comfortaa Light" w:hAnsi="Comfortaa Light"/>
          <w:color w:val="000000" w:themeColor="text1"/>
          <w:sz w:val="24"/>
          <w:szCs w:val="24"/>
          <w:lang w:val="es-MX" w:eastAsia="es-MX"/>
        </w:rPr>
        <w:t>refiere a estos Términos y condiciones generales de venta y uso aceptados por el comprador de un producto realizado en el sitio web de la empresa Treeconomy durante la creación de su cuenta,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Usuario: se </w:t>
      </w:r>
      <w:r>
        <w:rPr>
          <w:rFonts w:eastAsia="Times New Roman" w:cs="Arial" w:ascii="Comfortaa Light" w:hAnsi="Comfortaa Light"/>
          <w:color w:val="000000" w:themeColor="text1"/>
          <w:sz w:val="24"/>
          <w:szCs w:val="24"/>
          <w:lang w:val="es-MX" w:eastAsia="es-MX"/>
        </w:rPr>
        <w:t>refiere a cualquier persona que visite el sitio web de la empresa Treeconomy antes de adquirir cualquier producto que se ofrezca en este sitio web,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Sitio web: se </w:t>
      </w:r>
      <w:r>
        <w:rPr>
          <w:rFonts w:eastAsia="Times New Roman" w:cs="Arial" w:ascii="Comfortaa Light" w:hAnsi="Comfortaa Light"/>
          <w:color w:val="000000" w:themeColor="text1"/>
          <w:sz w:val="24"/>
          <w:szCs w:val="24"/>
          <w:lang w:val="es-MX" w:eastAsia="es-MX"/>
        </w:rPr>
        <w:t>refiere al Sitio de Internet publicado por Treeconomy, en el que sus usuarios tienen la posibilidad de adquirir Los productos de Treeconomy, </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i/>
          <w:iCs/>
          <w:color w:val="000000" w:themeColor="text1"/>
          <w:sz w:val="24"/>
          <w:szCs w:val="24"/>
          <w:lang w:val="es-MX" w:eastAsia="es-MX"/>
        </w:rPr>
        <w:t>Servicio al cliente, se </w:t>
      </w:r>
      <w:r>
        <w:rPr>
          <w:rFonts w:eastAsia="Times New Roman" w:cs="Arial" w:ascii="Comfortaa Light" w:hAnsi="Comfortaa Light"/>
          <w:color w:val="000000" w:themeColor="text1"/>
          <w:sz w:val="24"/>
          <w:szCs w:val="24"/>
          <w:lang w:val="es-MX" w:eastAsia="es-MX"/>
        </w:rPr>
        <w:t>refieren al departamento de la empresa Treeconomy que gestiona las relaciones con los Compradores o cualquier persona que visite el sitio web y desee recibir más información sobre los productos y servicios de la empresa, </w:t>
      </w:r>
    </w:p>
    <w:p>
      <w:pPr>
        <w:pStyle w:val="Normal"/>
        <w:shd w:val="clear" w:color="auto" w:fill="FFFFFF"/>
        <w:spacing w:lineRule="auto" w:line="240" w:before="0" w:after="100"/>
        <w:jc w:val="both"/>
        <w:rPr>
          <w:rStyle w:val="Ttulo1Car"/>
        </w:rPr>
      </w:pPr>
      <w:r>
        <w:rPr>
          <w:rFonts w:eastAsia="Times New Roman" w:cs="Arial" w:ascii="Comfortaa Light" w:hAnsi="Comfortaa Light"/>
          <w:color w:val="000000" w:themeColor="text1"/>
          <w:sz w:val="24"/>
          <w:szCs w:val="24"/>
          <w:lang w:val="es-MX" w:eastAsia="es-MX"/>
        </w:rPr>
        <w:t>Se alienta a los usuarios a leer detenidamente estos Términos y condiciones generales, a los que se puede acceder mediante un hipervínculo en cada página del sitio web de la empresa Treeconomy. Se aconseja a los usuarios descargarlos y / o imprimirlos y guardar una copia. La adquisición de productos está reservada a los usuarios que hayan creado una Cuenta de comprador y que hayan aceptado estos Términos y condiciones generales en su totalidad con un solo clic. La aceptación explícita de estos Términos y condiciones generales se confirma marcando la casilla o haciendo clic en el enlace de hipertexto provisto para este propósito. Dado que estos pueden modificarse en cualquier momento y sin previo aviso, es imperativo que el Comprador consulte las Condiciones Generales al adquirir un nuevo Producto, en particular, para garantizar que se respeten las cláusulas contractuales vigentes. </w:t>
      </w:r>
      <w:r>
        <w:rPr>
          <w:rFonts w:eastAsia="Times New Roman" w:cs="Arial" w:ascii="Comfortaa Light" w:hAnsi="Comfortaa Light"/>
          <w:i/>
          <w:iCs/>
          <w:color w:val="000000" w:themeColor="text1"/>
          <w:sz w:val="24"/>
          <w:szCs w:val="24"/>
          <w:lang w:val="es-MX" w:eastAsia="es-MX"/>
        </w:rPr>
        <w:t> </w:t>
      </w:r>
      <w:r>
        <w:rPr>
          <w:rFonts w:eastAsia="Times New Roman" w:cs="Arial" w:ascii="Comfortaa Light" w:hAnsi="Comfortaa Light"/>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w:t>
      </w:r>
    </w:p>
    <w:p>
      <w:pPr>
        <w:pStyle w:val="Normal"/>
        <w:shd w:val="clear" w:color="auto" w:fill="FFFFFF"/>
        <w:spacing w:lineRule="auto" w:line="240" w:before="0" w:after="100"/>
        <w:jc w:val="both"/>
        <w:rPr>
          <w:rStyle w:val="Ttulo1Car"/>
        </w:rPr>
      </w:pPr>
      <w:bookmarkStart w:id="3" w:name="_Toc74153369"/>
      <w:r>
        <w:rPr>
          <w:rStyle w:val="Ttulo1Car"/>
        </w:rPr>
        <w:t>Capítulo 2: Comisión por parte de Treeconomy:</w:t>
      </w:r>
      <w:bookmarkEnd w:id="3"/>
    </w:p>
    <w:p>
      <w:pPr>
        <w:pStyle w:val="Normal"/>
        <w:shd w:val="clear" w:color="auto" w:fill="FFFFFF"/>
        <w:spacing w:lineRule="auto" w:line="240" w:before="0" w:after="100"/>
        <w:jc w:val="both"/>
        <w:rPr>
          <w:rStyle w:val="Ttulo1Car"/>
        </w:rPr>
      </w:pPr>
      <w:r>
        <w:rP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Treeconomy aclara que por el valor de la compra de uno o varios árboles, Treeconomy tomara el 10% del valor de la compra antes de impuestos como contraprestación del servicio prestado para los compradores y en ninguno de los casos Treeconomy tomara Comisión por el valor de venta de los activos de los clientes como la madera o bonos de carbono, los cuales serán designados de forma proporcional a cada cliente como lo indica el </w:t>
      </w:r>
      <w:r>
        <w:rPr>
          <w:rFonts w:eastAsia="Times New Roman" w:cs="Arial" w:ascii="Comfortaa Light" w:hAnsi="Comfortaa Light"/>
          <w:b/>
          <w:bCs/>
          <w:color w:val="000000" w:themeColor="text1"/>
          <w:sz w:val="24"/>
          <w:szCs w:val="24"/>
          <w:lang w:val="es-MX" w:eastAsia="es-MX"/>
        </w:rPr>
        <w:t>capitulo 13</w:t>
      </w:r>
    </w:p>
    <w:p>
      <w:pPr>
        <w:pStyle w:val="Ttulo1"/>
        <w:rPr/>
      </w:pPr>
      <w:bookmarkStart w:id="4" w:name="_Toc74153370"/>
      <w:r>
        <w:rPr/>
        <w:t>Capítulo 3: Crear una cuenta de comprador</w:t>
      </w:r>
      <w:bookmarkEnd w:id="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Para pedir un producto en el sitio web de la empresa Treeconomy, el Usuario debe tener al menos 18 años de edad, legalmente capaz de contratar y usar este sitio de acuerdo con estas Condiciones Generales.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usuario debe crear una cuenta de comprador completando un formulario de registro en línea y completando todos los campos obligatorios.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necesidad de justificarse, Treeconomy se reserva el derecho de aceptar o rechazar por correo electrónico, a su exclusivo criterio, la creación de Cuentas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confidencialidad de la información personal guardada en su cuenta, se invita al Comprador a elegir una contraseña al crear su cuenta. Una vez que se ha creado la cuenta, el Comprador acepta no comunicar su contraseña a ningún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De lo contrario, Treeconomy no se hace responsable del posible acceso no autorizado a la cuenta de uno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se compromete a proporcionar información precisa y veraz.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se compromete a actualizar periódicamente los datos proporcionados al crear su cuenta de comprador.</w:t>
      </w:r>
      <w:r>
        <w:rPr>
          <w:rFonts w:eastAsia="Times New Roman" w:cs="Times New Roman" w:ascii="Comfortaa Light" w:hAnsi="Comfortaa Light"/>
          <w:color w:val="000000" w:themeColor="text1"/>
          <w:sz w:val="27"/>
          <w:szCs w:val="27"/>
          <w:lang w:val="es-MX" w:eastAsia="es-MX"/>
        </w:rPr>
        <w:t xml:space="preserve"> </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vez creada, se puede acceder a esta cuenta en cualquier momento. Al acceder a su cuenta, el Comprador recibirá los siguientes datos, actualizados regularmente:</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valoración en dólares a lo largo del tiempo de crecimiento de los árboles que el Comprador ha adquirido, como compras puntuales o con suscripciones,</w:t>
      </w:r>
    </w:p>
    <w:p>
      <w:pPr>
        <w:pStyle w:val="ListParagraph"/>
        <w:numPr>
          <w:ilvl w:val="0"/>
          <w:numId w:val="6"/>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Los bonos de carbono vendidos gracias a la captura de CO2 realizada por los arboles.</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Comprador recibirá un boletín trimestral que le informará sobre la situación de sus árboles.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Usuario es financieramente responsable por el uso del sitio web realizado tanto en su propio nombre como en nombre de terceros, incluidos los menores, a menos que pueda probar que el uso fue fraudulento y no fue el resultado de una falta o negligencia su parte.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uso del servicio del sitio web que sea fraudulento o que contravenga estos Términos y Condiciones Generales puede resultar en que Treeconomy rechace al Usuario en cuestión el acceso a los servicios ofrecidos en su sitio web en cualquier momento.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también se reserva el derecho de suspender temporalmente el acceso a las cuentas de los Compradores, especialmente en caso de problemas técnicos u operaciones de mantenimiento.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b/>
          <w:b/>
          <w:bCs/>
        </w:rPr>
      </w:pPr>
      <w:bookmarkStart w:id="5" w:name="_Toc74153371"/>
      <w:r>
        <w:rPr>
          <w:rStyle w:val="BookTitle"/>
          <w:b w:val="false"/>
          <w:bCs w:val="false"/>
        </w:rPr>
        <w:t>Capítulo 4: La Compra de Arboles</w:t>
      </w:r>
      <w:bookmarkEnd w:id="5"/>
      <w:r>
        <w:rPr>
          <w:rStyle w:val="BookTitle"/>
          <w:b w:val="false"/>
          <w:bCs w:val="false"/>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duración de los servicios ofrecidos por Treeconomy se extiende a lo largo de un período de tiempo completamente determinado por la ruta de desarrollo de sus Productos.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De conformidad con el </w:t>
      </w:r>
      <w:r>
        <w:rPr>
          <w:rFonts w:eastAsia="Times New Roman" w:cs="Arial" w:ascii="Comfortaa Light" w:hAnsi="Comfortaa Light"/>
          <w:b/>
          <w:bCs/>
          <w:color w:val="000000" w:themeColor="text1"/>
          <w:sz w:val="24"/>
          <w:szCs w:val="24"/>
          <w:lang w:val="es-MX" w:eastAsia="es-MX"/>
        </w:rPr>
        <w:t>Capitulo 12</w:t>
      </w:r>
      <w:r>
        <w:rPr>
          <w:rFonts w:eastAsia="Times New Roman" w:cs="Arial" w:ascii="Comfortaa Light" w:hAnsi="Comfortaa Light"/>
          <w:color w:val="000000" w:themeColor="text1"/>
          <w:sz w:val="24"/>
          <w:szCs w:val="24"/>
          <w:lang w:val="es-MX" w:eastAsia="es-MX"/>
        </w:rPr>
        <w:t xml:space="preserve"> de estos Términos y condiciones generales,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adquiere la propiedad de uno o más árboles los cuales serán Sembrados en una zona protegida en Colombia (Los arboles son bienes inmuebles, tal como se define en el Artículo 656 del Código Civil Colombiano y como  lo define la sección 3(26), The General Clauses Act, de los Estados Unidos de America) ;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al mismo tiempo, tiene derecho al 100% de los ingresos generados por el corte final de los árboles maduros en el área forestal relevante; 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ordena y le da poder amplio y suficiente de administración de los árboles adquiridos a Treeconomy sin que tal poder pueda ser cancelado sin la autorización de Treeconomy vía carta Certificada.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tiempo hasta la madurez de los árboles ofrecidos para la adquisición puede tomar entre diez y quince años. Es totalmente independiente de la duración de la vida de los Compradores.</w:t>
      </w:r>
    </w:p>
    <w:p>
      <w:pPr>
        <w:pStyle w:val="Ttulo1"/>
        <w:rPr>
          <w:rFonts w:eastAsia="Times New Roman"/>
          <w:sz w:val="27"/>
          <w:szCs w:val="27"/>
          <w:lang w:eastAsia="es-MX"/>
        </w:rPr>
      </w:pPr>
      <w:bookmarkStart w:id="6" w:name="_Toc74153372"/>
      <w:r>
        <w:rPr>
          <w:rFonts w:eastAsia="Times New Roman"/>
          <w:lang w:eastAsia="es-MX"/>
        </w:rPr>
        <w:t>Capítulo 5: Seguros</w:t>
      </w:r>
      <w:bookmarkEnd w:id="6"/>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no asegura los vuelos forestales de sus clientes, por otro lado Treeconomy hace los máximos esfuerzos para minimizar todos los riesgos a los que una plantación se ve enfrentada en el día a día, sin embargo, esta fuera del alcance de Treeconomy controlar el 100% de los riesgos, por lo que aconseja a sus clientes a tomar un seguro para sus árboles, el valor de este seguro será determinado al momento de siembra de cada lote y depende de las cotizaciones de las aseguradoras y de la cantidad de usuarios que aseguren sus árboles, Se informa expresamente al cliente que en caso de compensación después de una pérdida, el seguro se utilizará para reparar el área forestal en cuestión y no compensará al cliente ya que su derecho es un derecho sobre el corte final.</w:t>
      </w:r>
    </w:p>
    <w:p>
      <w:pPr>
        <w:pStyle w:val="Ttulo1"/>
        <w:rPr>
          <w:rFonts w:ascii="Comfortaa Light" w:hAnsi="Comfortaa Light" w:eastAsia="Times New Roman" w:cs="Arial"/>
          <w:b/>
          <w:b/>
          <w:bCs/>
          <w:color w:val="000000" w:themeColor="text1"/>
          <w:sz w:val="24"/>
          <w:szCs w:val="24"/>
          <w:lang w:eastAsia="es-MX"/>
        </w:rPr>
      </w:pPr>
      <w:bookmarkStart w:id="7" w:name="_Toc74153373"/>
      <w:r>
        <w:rPr>
          <w:rStyle w:val="BookTitle"/>
          <w:b w:val="false"/>
          <w:bCs w:val="false"/>
        </w:rPr>
        <w:t>Capítulo</w:t>
      </w:r>
      <w:r>
        <w:rPr>
          <w:rStyle w:val="BookTitle"/>
        </w:rPr>
        <w:t xml:space="preserve"> </w:t>
      </w:r>
      <w:r>
        <w:rPr>
          <w:rStyle w:val="BookTitle"/>
          <w:b w:val="false"/>
          <w:bCs w:val="false"/>
        </w:rPr>
        <w:t>6: Designar un tercero de confianza</w:t>
      </w:r>
      <w:bookmarkEnd w:id="7"/>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Para preservar los derechos de sus Compradores, Treeconomy les pide que designen un tercero de confianza en el momento en que crean su cuenta.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el Comprador designe a una persona física de elección en la creación de su cuenta en un campo reservado para este propósito. Se compromete a renovar esta nominación cada año en la fecha de aniversario de la creación de la cuenta del Comprador.</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renovar esta nominación resulta en la suspensión de su cuenta. Treeconomy le enviará al Comprador en cuestión un correo electrónico y le pedirá que solucione su situación dentro de un mes.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esto no sucede, Treeconomy se comunicará con el Tercero de confianza más reciente designado por el Comprador para obtener información sobre la situación del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con las disposiciones del Código Civil, en ausencia de cualquier reacción del Comprador después de cinco años, las relaciones contractuales existentes entre las partes finalizarán.</w:t>
      </w:r>
    </w:p>
    <w:p>
      <w:pPr>
        <w:pStyle w:val="Ttulo1"/>
        <w:rPr>
          <w:rStyle w:val="BookTitle"/>
          <w:b w:val="false"/>
          <w:b w:val="false"/>
          <w:bCs w:val="false"/>
        </w:rPr>
      </w:pPr>
      <w:bookmarkStart w:id="8" w:name="_Toc74153374"/>
      <w:r>
        <w:rPr>
          <w:rStyle w:val="BookTitle"/>
          <w:b w:val="false"/>
          <w:bCs w:val="false"/>
        </w:rPr>
        <w:t>Capítulo 7: Proceso de Compra</w:t>
      </w:r>
      <w:bookmarkEnd w:id="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Usuario solo puede solicitar Productos en oferta en el sitio web de la empresa Treeconomy después de haber creado una Cuenta de comprador, también llamada Espacio personal, y haber aceptado, en la creación de esta cuenta, estas Condiciones generales con un solo clic.</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procedimiento para realizar pedidos consta de (al menos) los siguientes pasos: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1. El usuario realiza una búsqueda en el sitio web,</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2. Como resultado de la búsqueda, el sitio web ofrece al usuario uno o más productos que se pueden adquirir como compras puntuales, o en forma de suscripción, para él mismo o en nombre de un tercero,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3. El usuario hace clic en el / los Producto (s) de elección,</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4. Un resumen presentando sus elecciones y el precio total del Producto (s) permite al Usuario verificar los detalles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5. El Usuario debe entonces asegurarse de que toda la información mostrada es correcta, y en particular la información proporcionada en los campos obligatorios del formulario de pedido, debe también nombrar que esta de acuerdo con el proceso. Por lo tanto, en el caso de una compra puntual, el cliente debe verificar las especies elegidas, la cantidad de arboles y el área forestal donde se encuentran los Productos elegidos; ya que no pueden modificarse después de la validación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6. El usuario debe confirmar 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7. Una vez que el usuario confirma el pedido, así como su servicio bancario a través del cual se realiza, el contrato se concluye válidamente con el Comprador,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8. El pedido en línea, que se realiza en modo seguro, se concluye válidamente después del acuerdo del servicio bancario,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9. Treeconomy enviará una confirmación del pedido por correo electrónico lo antes posible, y a Los últimos cinco días después del pedido. Este correo electrónico confirmará el pedido y enumerará sus elementos esenciales, como los detalles de los Productos pedidos, el precio, la cantidad del pedido y el lote donde se encuentran los árboles.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Toda la información contenida en este correo electrónico de confirmación constituirá una prueba del contenido del pedido a menos que el Comprador lo impugne por carta certificada con acuse de recibo dentro de los 8 días.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caso de que el Comprador no reciba una confirmación del pedido, es su responsabilidad ponerse en contacto con Treeconomy a través del correo electrónico invest@treeconomy.com.co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 responsabilidad del Comprador asegurarse de que la información (identidad, dirección de correo electrónico, dirección postal, etc.) que proporcionó durante el pedido sea correcta. Si se produce algún cambio relacionado con la información personal que pueda afectar el pedido, es responsabilidad del Comprador actualizar su información utilizando el formulario electrónico en el sitio web, para asegurarse de que él o ella se beneficiarán de los Productos pedidos.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Él o ella realiza todas las modificaciones necesarias a la información proporcionada previamente en la creación de la Cuenta del Comprador / Espacio personal.</w:t>
      </w:r>
    </w:p>
    <w:p>
      <w:pPr>
        <w:pStyle w:val="Ttulo1"/>
        <w:rPr>
          <w:rStyle w:val="BookTitle"/>
          <w:b w:val="false"/>
          <w:b w:val="false"/>
          <w:bCs w:val="false"/>
        </w:rPr>
      </w:pPr>
      <w:bookmarkStart w:id="9" w:name="_Toc74153375"/>
      <w:r>
        <w:rPr>
          <w:rStyle w:val="BookTitle"/>
          <w:b w:val="false"/>
          <w:bCs w:val="false"/>
        </w:rPr>
        <w:t>Capítulo 8: envío y entrega</w:t>
      </w:r>
      <w:bookmarkEnd w:id="9"/>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Debido a la naturaleza específica de los Productos comercializados por Treeconomy, no hay envío, ya que el Comprador compra árboles que serán cortados cuando hayan alcanzado la madurez.</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Por lo tanto, no habrá transferencia como tal de los Productos adquiridos. Pero una vez que el comprador haya confirmado el pedido y el servicio bancario correspondiente haya aceptado el pago electrónico, se realizará una transferencia de propiedad del producto o productos afectados por la transacción.</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Comprador recibe una factura que contiene los términos de su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fecha del pedido,</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 especie solicitada,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cantidades adquiridas,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Las áreas forestales donde se encuentran los productos,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 El precio pagado.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 factura puede ser descargada por el Comprador en su Cuenta de Comprador / Espacio personal y da fe de esta transferencia de propiedad y los riesgos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Cuando un Comprador ha realizado y pagado un pedido para un tercero, se envía un recibo que contiene los mismos elementos, a excepción de los relacionados con el precio del pedido, a la dirección de correo electrónico del beneficiario del pedido.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este beneficiario es un menor, el Comprador debe especificar esto al realizar el pedido. Luego, el Comprador debe proporcionar la dirección de correo electrónico de una persona que represente válidamente al menor completando el formulario estándar provisto para este propósito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documento que contenga los mismos elementos, a excepción de los relacionados con el precio, a la dirección de correo electrónico del representante legal del menor.</w:t>
      </w:r>
    </w:p>
    <w:p>
      <w:pPr>
        <w:pStyle w:val="Ttulo1"/>
        <w:rPr>
          <w:rStyle w:val="BookTitle"/>
          <w:b w:val="false"/>
          <w:b w:val="false"/>
          <w:bCs w:val="false"/>
        </w:rPr>
      </w:pPr>
      <w:bookmarkStart w:id="10" w:name="_Toc74153376"/>
      <w:r>
        <w:rPr>
          <w:rStyle w:val="BookTitle"/>
          <w:b w:val="false"/>
          <w:bCs w:val="false"/>
        </w:rPr>
        <w:t>Capítulo 9: Prueba</w:t>
      </w:r>
      <w:bookmarkEnd w:id="10"/>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acuerda expresamente que, a menos que Treeconomy cometa un error evidente, los datos almacenados en el sistema de información de Treeconomy, en particular en las herramientas de mensajería electrónica utilizadas por la empresa, constituyen evidencia concluyente de los pedidos realizados por el Comprador y de las obligaciones contractuales para ser realizado por todas las partes.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datos en computadora o en formato electrónico almacenados por la empresa Treeconomy constituyen evidencia y, si son producidos como evidencia por la empresa Treeconomy en cualquier litigio u otro procedimiento, serán admisibles, válidos y exigibles entre las partes de la misma manera, bajo las mismas condiciones y con la misma fuerza probatoria que cualquier documento redactado, recibido o almacenado por escrito.</w:t>
      </w:r>
    </w:p>
    <w:p>
      <w:pPr>
        <w:pStyle w:val="Ttulo1"/>
        <w:rPr>
          <w:rStyle w:val="BookTitle"/>
          <w:b w:val="false"/>
          <w:b w:val="false"/>
          <w:bCs w:val="false"/>
        </w:rPr>
      </w:pPr>
      <w:bookmarkStart w:id="11" w:name="_Toc74153377"/>
      <w:r>
        <w:rPr>
          <w:rStyle w:val="BookTitle"/>
          <w:b w:val="false"/>
          <w:bCs w:val="false"/>
        </w:rPr>
        <w:t>Capítulo 10: derecho de desistimiento</w:t>
      </w:r>
      <w:bookmarkEnd w:id="11"/>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Se informa al Comprador que, él o ella tiene derecho a ejercer su derecho de desistimiento del pedido que ha realizado.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tiene catorce días para cancelar su pedido sin tener que proporcionar ninguna justificación.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período comienza desde el momento en que el pedido ha sido confirmado, procesado y aceptado por los servicios bancarios relevantes.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solicitudes de retiro de pedidos se llevan a cabo completando el formulario estándar provisto para este fin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acusa recibo de esta solicitud de retiro con un correo electrónico pero el comprador estará a cargo de todos los cargos por transferencia.</w:t>
      </w:r>
    </w:p>
    <w:p>
      <w:pPr>
        <w:pStyle w:val="Ttulo1"/>
        <w:rPr>
          <w:rStyle w:val="BookTitle"/>
          <w:b w:val="false"/>
          <w:b w:val="false"/>
          <w:bCs w:val="false"/>
        </w:rPr>
      </w:pPr>
      <w:bookmarkStart w:id="12" w:name="_Toc74153378"/>
      <w:r>
        <w:rPr>
          <w:rStyle w:val="BookTitle"/>
          <w:b w:val="false"/>
          <w:bCs w:val="false"/>
        </w:rPr>
        <w:t>Capítulo 11: El uso del servicio de comentarios en línea.</w:t>
      </w:r>
      <w:bookmarkEnd w:id="1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Cualquier comprador puede cargar contenido en el sitio web de la empresa Treeconomy. Si él o ella es una persona física, debe tener al menos 18 años de edad para ser legalmente capaz de contratar y usar el sitio web de acuerdo con las Condiciones Generales establecidas en este contrato.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persona debe haber experimentado personalmente la compra de un Producto ofrecido en el Sitio web. Por lo tanto, la presentación de un aviso en línea está estrictamente reservada solo a los Compradores.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persona no debe encontrarse en una situación de conflicto de intereses con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 obligatorio que cualquier Comprador complete el formulario provisto para este propósito.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Entre los elementos solicitados en el formulario, solo el nombre y la ciudad del usuario aparecerán públicamente en el sitio web. El contenido publicado en el sitio web está etiquetado como 'Avisos verificados', lo que significa que Treeconomy se ha asegurado de que el Comprador haya realizado correctamente un pedido de un Producto encontrado en el Sitio web y haya pagado los Productos antes mencionados antes de publicar un aviso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dirección de correo electrónico proporcionada para presentar el aviso en línea debe ser válida y debe permitir que se contacte al Comprador para permitir la autenticación y / o el contacto personal con el fin de verificar la autenticidad de su testimonio.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debe ser notificado inmediatamente de cualquier malversación o uso fraudulento de la dirección de correo electrónico registrada para este fin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Comprador puede solicitar en cualquier momento la eliminación de sus contribuciones enviando un correo electrónico a Treeconomy, que procesará dicha solicitud lo más rápido posible.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contenido relacionado con un aviso en línea se publica en el sitio web dentro de un período indicativo promedio de 72 horas (incluido el período de moderación). Luego serán leídos por cualquier visitante u otro usuario que visite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modo predeterminado mostrará el contenido cronológicamente comenzando desde el más nuevo hasta el más antiguo según la fecha de presentación.</w:t>
      </w:r>
      <w:r>
        <w:rPr>
          <w:rFonts w:eastAsia="Times New Roman" w:cs="Times New Roman" w:ascii="Comfortaa Light" w:hAnsi="Comfortaa Light"/>
          <w:color w:val="000000" w:themeColor="text1"/>
          <w:sz w:val="27"/>
          <w:szCs w:val="27"/>
          <w:lang w:val="es-MX" w:eastAsia="es-MX"/>
        </w:rPr>
        <w:t xml:space="preserve">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contenido será moderado ' </w:t>
      </w:r>
      <w:r>
        <w:rPr>
          <w:rFonts w:eastAsia="Times New Roman" w:cs="Arial" w:ascii="Comfortaa Light" w:hAnsi="Comfortaa Light"/>
          <w:i/>
          <w:iCs/>
          <w:color w:val="000000" w:themeColor="text1"/>
          <w:sz w:val="24"/>
          <w:szCs w:val="24"/>
          <w:lang w:val="es-MX" w:eastAsia="es-MX"/>
        </w:rPr>
        <w:t>a posteriori' </w:t>
      </w:r>
      <w:r>
        <w:rPr>
          <w:rFonts w:eastAsia="Times New Roman" w:cs="Arial" w:ascii="Comfortaa Light" w:hAnsi="Comfortaa Light"/>
          <w:color w:val="000000" w:themeColor="text1"/>
          <w:sz w:val="24"/>
          <w:szCs w:val="24"/>
          <w:lang w:val="es-MX" w:eastAsia="es-MX"/>
        </w:rPr>
        <w:t>por la empresa Treeconomy. Se esforzará por publicar el contenido recibido de los clientes. Sin embargo, la moderación del sitio web permite a Treeconomy, a su sola discreción y sin previo aviso, eliminar todo o parte del contenido que violaría la legislación vigente. La empresa Treeconomy se reserva el derecho, a su absoluta discreción, de determinar qué contenido se publica en su Sitio y eliminar cualquier contenido ininteligible o ilegal (incluyendo contenido o publicaciones obscenos, racistas, sexistas o difamatorios, o cualquier violación de los derechos de propiedad intelectual, derechos de publicidad o derechos de privacidad). El Comprador que envía contenido tiene, de antemano, la responsabilidad de: - asegurarse de que el contenido sea relevante y de calidad, incluida la calidad estética, si corresponde, que se puede usar en el sitio, - asegurarse de que el contenido respeta los Términos y Condiciones Generales Condiciones : utilice la misma dirección de correo electrónico para registrarse en el servicio de notificación en línea que la creada para su Cuenta de comprador. El Comprador es el único responsable del contenido que publica en el sitio web y del cumplimiento de los Términos y condiciones generales. Bajo ninguna circunstancia, Treeconomy se hace responsable del contenido publicado, ni de los errores u omisiones cometidos por los clientes. Treeconomy se reserva el derecho de eliminar inmediatamente, sin previo aviso, cualquier contenido contrario a estos Términos y Condiciones. Treeconomy no será responsable de ningún daño, directo o indirecto, resultante del uso del servicio de notificación en línea, independientemente de la causa. Por lo tanto, el Comprador es el único responsable de los daños resultantes de cualquier violación de las restricciones establecidas en este Capitulo, o de cualquier otro daño causado por la divulgación pública de contenido en el sitio web. Treeconomy también se reserva el derecho de suspender el acceso al servicio de plataforma de notificación en línea, especialmente en el caso de problemas técnicos o con fines de operación de mantenimiento. </w:t>
      </w:r>
    </w:p>
    <w:p>
      <w:pPr>
        <w:pStyle w:val="Ttulo1"/>
        <w:rPr>
          <w:rStyle w:val="BookTitle"/>
        </w:rPr>
      </w:pPr>
      <w:bookmarkStart w:id="13" w:name="_Toc74153379"/>
      <w:r>
        <w:rPr>
          <w:rStyle w:val="BookTitle"/>
          <w:b w:val="false"/>
          <w:bCs w:val="false"/>
        </w:rPr>
        <w:t>Capítulo 12: nuestras ofertas</w:t>
      </w:r>
      <w:bookmarkEnd w:id="13"/>
    </w:p>
    <w:p>
      <w:pPr>
        <w:pStyle w:val="Normal"/>
        <w:shd w:val="clear" w:color="auto" w:fill="FFFFFF"/>
        <w:spacing w:lineRule="auto" w:line="240" w:before="0" w:after="100"/>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El sitio web de la compañía Treeconomy ofrece cinco formas de comprar sus Productos:</w:t>
      </w:r>
      <w:r>
        <w:rPr>
          <w:rFonts w:eastAsia="Times New Roman" w:cs="Times New Roman" w:ascii="Comfortaa Light" w:hAnsi="Comfortaa Light"/>
          <w:color w:val="000000" w:themeColor="text1"/>
          <w:sz w:val="27"/>
          <w:szCs w:val="27"/>
          <w:lang w:val="es-MX" w:eastAsia="es-MX"/>
        </w:rPr>
        <w:br/>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de una especie de árbol específica ubicada en un área forestal identificada,</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compra puntual para otra persona de una especie de árbol específica ubicada en un área forestal identificada ,</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Registrarse para una suscripción para uno mismo o para otros,</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adquisición de árboles para plantar durante la próxima temporada de siembra después de la fecha de adquisición. La elección se realiza a partir de especies y áreas forestales que se ofrecen en el sitio web de la empresa Treeconomy.</w:t>
      </w:r>
    </w:p>
    <w:p>
      <w:pPr>
        <w:pStyle w:val="ListParagraph"/>
        <w:numPr>
          <w:ilvl w:val="0"/>
          <w:numId w:val="3"/>
        </w:numPr>
        <w:shd w:val="clear" w:color="auto" w:fill="FFFFFF"/>
        <w:spacing w:lineRule="auto" w:line="240" w:before="0" w:after="100"/>
        <w:contextualSpacing/>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Una donación donde los valores donados donde Treeconomy es responsable de asignar todas las donaciones hechas por el cliente a los proyectos seleccionados.</w:t>
      </w:r>
    </w:p>
    <w:p>
      <w:pPr>
        <w:pStyle w:val="Normal"/>
        <w:shd w:val="clear" w:color="auto" w:fill="FFFFFF"/>
        <w:spacing w:lineRule="auto" w:line="240" w:before="0" w:after="100"/>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suscripción de árbol permite al Comprador adquirir árboles seleccionados por Treeconomy mensualmente. El Comprador le otorga a Treeconomy el mandato de seleccionar los árboles específicos y sus especies que se agregarán a su Cuenta de Comprador. El Comprador que se ha suscrito a una suscripción selecciona el monto del retiro mensual y la cuenta de la que desea que se le cargue. Cada mes, los nuevos árboles seleccionados por Treeconomy se agregan a la cuenta del comprador o en la cuenta de otra persona de elección.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Una factura que informa al Comprador de los detalles de su pedido se carga en el Espacio Personal de la Cuenta del Comprador o en la de la persona por la que ha decidido pagar. La factura proporciona la cantidad de árboles nuevos, sus especies, así como el bosque o lote en el que se encuentran. Un documento similar que contiene un inventario de los elementos comprados, sin mostrar el valor del precio, está disponible en el Espacio personal de la cuenta del beneficiario desde el momento en que se crea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 xml:space="preserve">Cuando el Comprador haya realizado una adquisición, a través de una compra puntual o una suscripción mensual, en nombre de otros, deberá indicar para quién realizó una adquisición o una suscripción de conformidad con las disposiciones del </w:t>
      </w:r>
      <w:r>
        <w:rPr>
          <w:rFonts w:eastAsia="Times New Roman" w:cs="Arial" w:ascii="Comfortaa Light" w:hAnsi="Comfortaa Light"/>
          <w:b/>
          <w:bCs/>
          <w:color w:val="000000" w:themeColor="text1"/>
          <w:sz w:val="24"/>
          <w:szCs w:val="24"/>
          <w:lang w:val="es-MX" w:eastAsia="es-MX"/>
        </w:rPr>
        <w:t>Capitulo 7</w:t>
      </w:r>
      <w:r>
        <w:rPr>
          <w:rFonts w:eastAsia="Times New Roman" w:cs="Arial" w:ascii="Comfortaa Light" w:hAnsi="Comfortaa Light"/>
          <w:color w:val="000000" w:themeColor="text1"/>
          <w:sz w:val="24"/>
          <w:szCs w:val="24"/>
          <w:lang w:val="es-MX" w:eastAsia="es-MX"/>
        </w:rPr>
        <w:t xml:space="preserve"> relacionadas con los Productos adquiridos. ocasionalmente o por suscripción para menores.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Al realizar una adquisición en nombre de otra parte, el Comprador debe ingresar la dirección de correo electrónico del beneficiario. Se envía un correo electrónico el mismo día del pedido o en una fecha posterior programada a solicitud del Comprador. Este correo electrónico contiene un código de regalo para ingresar e instrucciones que explican al beneficiario cómo acceder a la propiedad del árbol adquirida.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El código de regalo, que justifica la compra de uno o varios árboles y / o de una o más suscripciones, es válido hasta un año después de su fecha de emisión. El código es nominativo, no reembolsable y no intercambiable. Estrictamente, no se permitirá la extensión de la fecha de vencimiento y no se autorizará ninguna exención a la regla mencionada anteriormente con la excepción de un retiro solicitado por el Comprador. En caso de no uso del código de regalo dentro del límite de tiempo indicado en la factura del Comprador para un tercero o en el recibo del beneficiario, ni el Comprador ni el beneficiario tienen derecho a un reembolso.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Con la excepción de las empresas, cuyo compromiso es de una duración mínima de un año (tácitamente renovable), el Comprador tiene el derecho de cancelar su suscripción en cualquier momento simplemente enviando un correo electrónico a Treeconomy. La cancelación de la suscripción será efectiva, a más tardar, tres días después de la solicitud (la fecha de envío se toma como prueba). El Comprador sigue siendo el propietario de los árboles adquiridos previamente.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suscribirse a una suscripción de árbol, a partir del 13 de Junio de 2020, Treeconomy garantiza los siguientes beneficios a nuestros clientes (no profesionales), así como a todos los clientes que ya se hayan suscrito antes de la fecha dada, sin efecto retroactivo:</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Exclusividad en especies raras y árboles con un corto período de tiempo esperado antes del corte</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Cada año, una cantidad de árboles ofrecidos, proporcional a la cantidad de árboles mensuales suscritos por el cliente. Treeconomy llama la atención del cliente sobre el hecho de que el precio de los árboles ofrecidos queda a criterio de Treeconomy. Treeconomy también informa al cliente que esta exclusividad solo se otorgará en la medida en que Treeconomy haya recibido oficialmente los doce pagos iguales y consecutivos según lo dispuesto en las disposiciones sobre suscripciones. Nuestra oferta está limitada a 100 (cien) árboles y / o dos años por cualquier suscripción suscrita</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Artículos de blog para descubrir el mundo de los bosques.</w:t>
      </w:r>
    </w:p>
    <w:p>
      <w:pPr>
        <w:pStyle w:val="Normal"/>
        <w:numPr>
          <w:ilvl w:val="0"/>
          <w:numId w:val="1"/>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Un número de teléfono para contactar a uno de nuestros cofundadores directamente</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Estas disposiciones no cubren las suscripciones realizadas por profesionales.</w:t>
      </w:r>
    </w:p>
    <w:p>
      <w:pPr>
        <w:pStyle w:val="Ttulo1"/>
        <w:rPr>
          <w:rStyle w:val="BookTitle"/>
        </w:rPr>
      </w:pPr>
      <w:bookmarkStart w:id="14" w:name="_Toc74153380"/>
      <w:r>
        <w:rPr>
          <w:rStyle w:val="BookTitle"/>
          <w:b w:val="false"/>
          <w:bCs w:val="false"/>
        </w:rPr>
        <w:t>Capítulo 13: La naturaleza legal de la relación contractual entre Treeconomy y sus clientes.</w:t>
      </w:r>
      <w:bookmarkEnd w:id="14"/>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propósito social de Treeconomy es desarrollar conceptos innovadores centrados en el desarrollo sostenible, en particular la plantación de árboles y el manejo forestal con el objetivo de venderlos a individuos y / o empresas.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este fin, Treeconomy regularmente siembra o adquiere árboles de diferentes especies ubicadas en varias áreas forestales, ya sea de los propios terrenos de Treeconomy</w:t>
      </w:r>
      <w:r>
        <w:rPr>
          <w:rFonts w:eastAsia="Times New Roman" w:cs="Arial" w:ascii="Comfortaa Light" w:hAnsi="Comfortaa Light"/>
          <w:i/>
          <w:iCs/>
          <w:color w:val="000000" w:themeColor="text1"/>
          <w:sz w:val="24"/>
          <w:szCs w:val="24"/>
          <w:lang w:val="es-MX" w:eastAsia="es-MX"/>
        </w:rPr>
        <w:t xml:space="preserve"> o de un tercer propietario </w:t>
      </w:r>
      <w:r>
        <w:rPr>
          <w:rFonts w:eastAsia="Times New Roman" w:cs="Arial" w:ascii="Comfortaa Light" w:hAnsi="Comfortaa Light"/>
          <w:color w:val="000000" w:themeColor="text1"/>
          <w:sz w:val="24"/>
          <w:szCs w:val="24"/>
          <w:lang w:val="es-MX" w:eastAsia="es-MX"/>
        </w:rPr>
        <w:t>. En nombre de sus clientes, Treeconomy garantiza el mantenimiento y el crecimiento de los árboles para cortar árboles al final de su ciclo de madurez en nombre de sus clientes. Treeconomy se basa en un modelo ecológico diseñado para no dañar ningún ecosistema. Treeconomy tiene la intención de gestionar los recursos forestales madereros de manera sostenible para preservar la biodiversidad de nuestros bosques. Nos esforzamos por garantizar la mayor capacidad de regeneración de nuestros árboles, tanto su vitalidad presente como futura, la calidad de los suelos y el agua en nuestras áreas forestales. La implementación de esta política ha llevado a Treeconomy a establecer una estrategia de gestión diseñada para mejorar completamente el valor de nuestros bosques. Para responder a sus objetivos de valoración forestal, Treeconomy se ve obligado necesariamente a llevar a cabo la tala de bosques, es decir, cortar árboles antes de que alcancen la madurez. Los compromisos contractuales de las partes: los Compradores, por un lado, y Treeconomy, por el otro, constituyen un paquete contractual bajo los siguientes términos por los cuales el Comprador:</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Adquiere la propiedad de uno o más árboles (bienes muebles por adelantado de acuerdo con la jurisprudencia Colombiana (Los arboles son bienes inmuebles, tal como se define en el Artículo 656 del Código Civil Colombiano y como  lo define la sección 3(26), The General Clauses Act, de los Estados Unidos de América)</w:t>
      </w:r>
    </w:p>
    <w:p>
      <w:pPr>
        <w:pStyle w:val="ListParagraph"/>
        <w:numPr>
          <w:ilvl w:val="0"/>
          <w:numId w:val="4"/>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Le da a Treeconomy un mandato para administrar los árboles que ha adquirido.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En la ejecución de este contrato, el Comprador adquiere la propiedad de una propiedad inmueble con anticipación de acuerdo con la jurisprudencia tal como se define en el Artículo 656 del Código Civil Colombiano y como  lo define la sección 3(26), The General Clauses Act, de los Estados Unidos de América, es decir, en este caso, un árbol destinado para ser cortado posteriormente.</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la propiedad adquirida son solo lo arboles y no el terreno. Como tal, la venta de árboles permite separar la propiedad en dos, El suelo (la parte inferior) y del bosque con sus árboles (la parte superior).</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aún más la atención del cliente sobre las prerrogativas especiales otorgadas a los clientes que poseen árboles en la misma área forestal. Cada cliente posee un árbol y una fracción del área que incluye todos los árboles ubicados en la misma área. Como tal, cada cliente tiene una parte de los ingresos de la venta de la tala de árboles maduros en el área en cuestión. Cada cliente acuerda correlativamente no beneficiarse de los ingresos generados solo por su propio árbol (Entresacas o corte maduro).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Incluso en el caso de la desaparición de su árbol por cualquier motivo, de conformidad con este Capitulo, el derecho de propiedad se transferirá, mediante subrogación real, a una parte de los ingresos del corte final de los árboles que hayan alcanzado la madurez en un área forestal dada de la siguiente manera: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 xml:space="preserve">Justo en los productos del corte final = </w:t>
      </w:r>
      <w:r>
        <w:rPr>
          <w:rFonts w:eastAsia="Times New Roman" w:cs="Arial" w:ascii="Comfortaa Light" w:hAnsi="Comfortaa Light"/>
          <w:b/>
          <w:bCs/>
          <w:color w:val="000000" w:themeColor="text1"/>
          <w:sz w:val="24"/>
          <w:szCs w:val="24"/>
          <w:lang w:val="es-MX" w:eastAsia="es-MX"/>
        </w:rPr>
        <w:t>Producto del corte final</w:t>
      </w:r>
      <w:r>
        <w:rPr>
          <w:rFonts w:eastAsia="Times New Roman" w:cs="Arial" w:ascii="Comfortaa Light" w:hAnsi="Comfortaa Light"/>
          <w:color w:val="000000" w:themeColor="text1"/>
          <w:sz w:val="24"/>
          <w:szCs w:val="24"/>
          <w:lang w:val="es-MX" w:eastAsia="es-MX"/>
        </w:rPr>
        <w:t xml:space="preserve"> × </w:t>
      </w:r>
      <w:r>
        <w:rPr>
          <w:rFonts w:eastAsia="Times New Roman" w:cs="Arial" w:ascii="Comfortaa Light" w:hAnsi="Comfortaa Light"/>
          <w:b/>
          <w:bCs/>
          <w:color w:val="000000" w:themeColor="text1"/>
          <w:sz w:val="24"/>
          <w:szCs w:val="24"/>
          <w:lang w:val="es-MX" w:eastAsia="es-MX"/>
        </w:rPr>
        <w:t>monto</w:t>
      </w:r>
      <w:r>
        <w:rPr>
          <w:rFonts w:eastAsia="Times New Roman" w:cs="Arial" w:ascii="Comfortaa Light" w:hAnsi="Comfortaa Light"/>
          <w:color w:val="000000" w:themeColor="text1"/>
          <w:sz w:val="24"/>
          <w:szCs w:val="24"/>
          <w:lang w:val="es-MX" w:eastAsia="es-MX"/>
        </w:rPr>
        <w:t xml:space="preserve"> excluyendo impuestos </w:t>
      </w:r>
      <w:r>
        <w:rPr>
          <w:rFonts w:eastAsia="Times New Roman" w:cs="Arial" w:ascii="Comfortaa Light" w:hAnsi="Comfortaa Light"/>
          <w:b/>
          <w:bCs/>
          <w:color w:val="000000" w:themeColor="text1"/>
          <w:sz w:val="24"/>
          <w:szCs w:val="24"/>
          <w:lang w:val="es-MX" w:eastAsia="es-MX"/>
        </w:rPr>
        <w:t xml:space="preserve">suscritos por X </w:t>
      </w:r>
      <w:r>
        <w:rPr>
          <w:rFonts w:eastAsia="Times New Roman" w:cs="Arial" w:ascii="Comfortaa Light" w:hAnsi="Comfortaa Light"/>
          <w:color w:val="000000" w:themeColor="text1"/>
          <w:sz w:val="24"/>
          <w:szCs w:val="24"/>
          <w:lang w:val="es-MX" w:eastAsia="es-MX"/>
        </w:rPr>
        <w:t xml:space="preserve">/ </w:t>
      </w:r>
      <w:r>
        <w:rPr>
          <w:rFonts w:eastAsia="Times New Roman" w:cs="Arial" w:ascii="Comfortaa Light" w:hAnsi="Comfortaa Light"/>
          <w:b/>
          <w:bCs/>
          <w:color w:val="000000" w:themeColor="text1"/>
          <w:sz w:val="24"/>
          <w:szCs w:val="24"/>
          <w:lang w:val="es-MX" w:eastAsia="es-MX"/>
        </w:rPr>
        <w:t>monto total</w:t>
      </w:r>
      <w:r>
        <w:rPr>
          <w:rFonts w:eastAsia="Times New Roman" w:cs="Arial" w:ascii="Comfortaa Light" w:hAnsi="Comfortaa Light"/>
          <w:color w:val="000000" w:themeColor="text1"/>
          <w:sz w:val="24"/>
          <w:szCs w:val="24"/>
          <w:lang w:val="es-MX" w:eastAsia="es-MX"/>
        </w:rPr>
        <w:t xml:space="preserve"> excluyendo impuestos suscritos en el área dada</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El "</w:t>
      </w:r>
      <w:r>
        <w:rPr>
          <w:rFonts w:eastAsia="Times New Roman" w:cs="Arial" w:ascii="Comfortaa Light" w:hAnsi="Comfortaa Light"/>
          <w:b/>
          <w:bCs/>
          <w:color w:val="000000" w:themeColor="text1"/>
          <w:sz w:val="24"/>
          <w:szCs w:val="24"/>
          <w:lang w:val="es-MX" w:eastAsia="es-MX"/>
        </w:rPr>
        <w:t>producto de corte final</w:t>
      </w:r>
      <w:r>
        <w:rPr>
          <w:rFonts w:eastAsia="Times New Roman" w:cs="Arial" w:ascii="Comfortaa Light" w:hAnsi="Comfortaa Light"/>
          <w:color w:val="000000" w:themeColor="text1"/>
          <w:sz w:val="24"/>
          <w:szCs w:val="24"/>
          <w:lang w:val="es-MX" w:eastAsia="es-MX"/>
        </w:rPr>
        <w:t>" es igual al producto total del corte final de los árboles que quedan en el área del bosque y que han alcanzado la madurez;</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cantidad suscrita por X</w:t>
      </w:r>
      <w:r>
        <w:rPr>
          <w:rFonts w:eastAsia="Times New Roman" w:cs="Arial" w:ascii="Comfortaa Light" w:hAnsi="Comfortaa Light"/>
          <w:color w:val="000000" w:themeColor="text1"/>
          <w:sz w:val="24"/>
          <w:szCs w:val="24"/>
          <w:lang w:val="es-MX" w:eastAsia="es-MX"/>
        </w:rPr>
        <w:t>" es igual a la suma de los árboles multiplicada por su precio de compra respectivo, excluyendo el IVA a impuestos generados por los arboles comprados por el cliente;</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La "</w:t>
      </w:r>
      <w:r>
        <w:rPr>
          <w:rFonts w:eastAsia="Times New Roman" w:cs="Arial" w:ascii="Comfortaa Light" w:hAnsi="Comfortaa Light"/>
          <w:b/>
          <w:bCs/>
          <w:color w:val="000000" w:themeColor="text1"/>
          <w:sz w:val="24"/>
          <w:szCs w:val="24"/>
          <w:lang w:val="es-MX" w:eastAsia="es-MX"/>
        </w:rPr>
        <w:t xml:space="preserve">cantidad total </w:t>
      </w:r>
      <w:r>
        <w:rPr>
          <w:rFonts w:eastAsia="Times New Roman" w:cs="Arial" w:ascii="Comfortaa Light" w:hAnsi="Comfortaa Light"/>
          <w:color w:val="000000" w:themeColor="text1"/>
          <w:sz w:val="24"/>
          <w:szCs w:val="24"/>
          <w:lang w:val="es-MX" w:eastAsia="es-MX"/>
        </w:rPr>
        <w:t>suscrita en el área dada" es igual a la suma de todas las "cantidades suscritas" por cada uno de los clientes dentro del área. Suma total de los precios de compra excluyendo el IVA de los árboles y los impuestos</w:t>
      </w:r>
    </w:p>
    <w:p>
      <w:pPr>
        <w:pStyle w:val="Normal"/>
        <w:numPr>
          <w:ilvl w:val="0"/>
          <w:numId w:val="2"/>
        </w:numPr>
        <w:shd w:val="clear" w:color="auto" w:fill="FFFFFF"/>
        <w:spacing w:lineRule="auto" w:line="240" w:before="100" w:after="100"/>
        <w:ind w:left="516" w:hanging="0"/>
        <w:jc w:val="both"/>
        <w:rPr>
          <w:rFonts w:ascii="Comfortaa Light" w:hAnsi="Comfortaa Light" w:eastAsia="Times New Roman" w:cs="Times New Roman"/>
          <w:color w:val="000000" w:themeColor="text1"/>
          <w:sz w:val="20"/>
          <w:szCs w:val="20"/>
          <w:lang w:val="es-MX" w:eastAsia="es-MX"/>
        </w:rPr>
      </w:pPr>
      <w:r>
        <w:rPr>
          <w:rFonts w:eastAsia="Times New Roman" w:cs="Arial" w:ascii="Comfortaa Light" w:hAnsi="Comfortaa Light"/>
          <w:color w:val="000000" w:themeColor="text1"/>
          <w:sz w:val="24"/>
          <w:szCs w:val="24"/>
          <w:lang w:val="es-MX" w:eastAsia="es-MX"/>
        </w:rPr>
        <w:t>Treeconomy se encargara de suscribir y cerrar lotes de acuerdo a los lotes de siembra o a los lotes adquiridos, al suscribir los lotes se les enviara la información a todos los clientes relacionados al lote suscrito.</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Tan pronto como se adquieren los árboles, el cliente ordena a Treeconomy que administre los árboles adquiridos. El propósito de este mandato es permitir que Treeconomy implemente una estrategia de gestión diseñada para crear el mayor valor posible de las áreas forestales. Este mandato incluye la experiencia y el mantenimiento de los bosques, como el tratamiento de hongos , la tala, la poda y la Entresacas, etc. Además, Treeconomy se reserva el derecho de utilizar socios regulares, tales como expertos forestales o empresas forestales locales.</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Se especifica que, como parte de este mandato, el cliente delega en Treeconomy el derecho de cortar los árboles adquiridos (durante la Entresacas o en la madurez) y renuncia expresamente al derecho de oponerse a cualquier corte realizado por Treeconomy o solicitar el corte de sus árboles.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presentará, en su informe anual de gestión, indexado en el Espacio personal del comprador, una auditoría de un experto forestal después de cada período de reducción que acredite la calidad de la silvicultura. Treeconomy llama la atención del cliente sobre el hecho de que él o ella no percibirá los ingresos generados por los cortes intermedios, o de cualquier otro subsidio, ya que Treeconomy recauda estos ingresos para financiar los costos de mantenimiento que aseguran la salud y crecimiento de los arboles tanto como el desarrollo sostenible del bosque. </w:t>
      </w:r>
      <w:r>
        <w:rPr>
          <w:rFonts w:eastAsia="Times New Roman" w:cs="Arial" w:ascii="Comfortaa Light" w:hAnsi="Comfortaa Light"/>
          <w:i/>
          <w:iCs/>
          <w:color w:val="000000" w:themeColor="text1"/>
          <w:sz w:val="24"/>
          <w:szCs w:val="24"/>
          <w:lang w:val="es-MX" w:eastAsia="es-MX"/>
        </w:rPr>
        <w:t> </w:t>
      </w:r>
      <w:r>
        <w:rPr>
          <w:rFonts w:eastAsia="Times New Roman" w:cs="Times New Roman" w:ascii="Comfortaa Light" w:hAnsi="Comfortaa Light"/>
          <w:color w:val="000000" w:themeColor="text1"/>
          <w:sz w:val="27"/>
          <w:szCs w:val="27"/>
          <w:lang w:val="es-MX" w:eastAsia="es-MX"/>
        </w:rPr>
        <w:br/>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llama la atención del cliente sobre el hecho de que el propietario sigue siendo el propietario de la tierra. Al comprar un árbol, el cliente autoriza a Treeconomy de subarrendar tierras de terceros o las propias tierras de Treeconomy.</w:t>
      </w:r>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Desde el período que abarca desde la venta de árboles hasta el corte final al vencimiento, que genera los ingresos por venta de bosques, se afirma que Treeconomy se compromete a: (i) no formar ninguna relación contractual ni otorgar ningún derecho real de ningún tipo a un tercero (derecho real sobre la propiedad de otros) en el área del bosque venden y ubican los árboles de Treeconomy; (ii) y no transferir la propiedad del área forestal (de los terrenos) a un tercero.</w:t>
      </w:r>
    </w:p>
    <w:p>
      <w:pPr>
        <w:pStyle w:val="Ttulo1"/>
        <w:rPr>
          <w:rStyle w:val="BookTitle"/>
          <w:b w:val="false"/>
          <w:b w:val="false"/>
          <w:bCs w:val="false"/>
          <w:iCs w:val="false"/>
          <w:spacing w:val="0"/>
        </w:rPr>
      </w:pPr>
      <w:bookmarkStart w:id="15" w:name="_Toc74153381"/>
      <w:r>
        <w:rPr>
          <w:rStyle w:val="BookTitle"/>
          <w:b w:val="false"/>
          <w:bCs w:val="false"/>
          <w:iCs w:val="false"/>
          <w:spacing w:val="0"/>
        </w:rPr>
        <w:t>Capítulo 14: Transferencia anticipada de árboles por parte del Comprador</w:t>
      </w:r>
      <w:bookmarkEnd w:id="15"/>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llama la atención de los Compradores sobre el hecho de que el valor de su inversión, a diferencia del de un producto financiero básico, deriva esencialmente del compromiso sostenible que él o ella hace para fomentar y apoyar el manejo forestal saludable a largo plazo.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Por lo tanto, el Comprador debe considerar su inversión como una inversión a largo plazo correspondiente al ciclo de vida del árbol adquirido. En consecuencia, la inversión podría sobrevivir al Comprador dependiendo de la etapa de madurez de la especie adquirida.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tiene el mandato de garantizar la liquidez de los activos financieros de sus clientes.</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Sin embargo, en aras de la buena gestión de los activos forestales de sus clientes, y para garantizar en su nombre la sostenibilidad de las elecciones realizadas en la gestión de las áreas forestales bajo la supervisión de Treeconomy, Treeconomy se reserva el derecho, a su exclusivo criterio, para comprar árboles que estarían a la venta por algunos de sus Compradores.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atención de los Compradores se ve atraída por el hecho de que esto es simplemente un derecho de redención y en ningún caso una obligación.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Cada Comprador puede decidir en cualquier momento transferir los derechos que ha adquirido a un tercero.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Cuando dicha transferencia haya tenido lugar, el Comprador debe informar a Treeconomy por correo electrónico.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Solo es exigible contra Treeconomy cuando el nuevo Comprador ha creado con éxito una Cuenta de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creación de esta cuenta de comprador hace que la transferencia entre las partes sea exigible contra Treeconomy.</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16" w:name="_Toc74153382"/>
      <w:r>
        <w:rPr>
          <w:rFonts w:eastAsia="Times New Roman"/>
          <w:lang w:eastAsia="es-MX"/>
        </w:rPr>
        <w:t>Capítulo 15: Pago</w:t>
      </w:r>
      <w:bookmarkEnd w:id="16"/>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Los precios se indican en dólares e incluyen todos los impuestos sobre la compra, a menos que se indique lo contrario en el sitio web.</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precios que se muestran en el sitio web pueden modificarse en cualquier momento sin previo aviso. Dichas modificaciones no serán aplicables a los pedidos para los cuales el pago ya ha sido confirmado por el servicio bancario con el que trabaja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rechazo del pago de un pedido por parte del servicio bancario cancela el pedido. Los costos resultantes de la cancelación correrán a cargo del usuario, sin perjuicio de cualquier acción de reclamo que se pueda tomar contra él.</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Los pagos realizados en el sitio web se realizan con tarjeta de crédito (se aceptan tarjetas de las siguientes redes: Carte Bleue, Visa, Eurocard / Mastercard o American Express) a través de una plataforma de pagos independiente llamada Stripe.</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No se transmite información bancaria a través del sitio web: el Comprador paga ingresando el número, la fecha de vencimiento y el código de seguridad en el reverso de su tarjeta de crédito en línea en los espacios provistos para este asunto en el formulario proporcionado en el sitio web de la empresa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el caso de que se demuestre que el pago es irregular, incompleto o inexistente, por una razón atribuible al Comprador, se cancelará la venta de los Productos. Los costos resultantes correrán a cargo del Comprador, y una acción civil y / o criminal puede, si es necesario, ser presentada contra el Comprador.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Para garantizar la seguridad de las transacciones y los consumidores, Treeconomy se reserva el derecho de bloquear cualquier pedido que parezca fraudulento o que no ofrezca todas las garantías necesarias en términos de pago de seguridad en línea.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este caso, el Comprador puede, sin embargo, adquirir uno de los Productos vendidos en el sitio web utilizando otro medio de pago que el que ha sido bloqueado.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en caso de cualquier irregularidad con respecto al pago de un pedido en el sitio web, Treeconomy se reserva el derecho de registrar los detalles recopilados durante esta compra en una lista de incidentes de pago.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Si es necesario, el usuario no puede utilizar estos datos para realizar otros pedidos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Se enviará un correo electrónico a la dirección de correo electrónico registrada en el momento del pedido para informar al usuario e invitarlo a regularizar la situación con nuestro Servicio al Cliente.</w:t>
      </w:r>
    </w:p>
    <w:p>
      <w:pPr>
        <w:pStyle w:val="Ttulo1"/>
        <w:rPr>
          <w:rFonts w:eastAsia="Times New Roman"/>
          <w:sz w:val="27"/>
          <w:szCs w:val="27"/>
          <w:lang w:eastAsia="es-MX"/>
        </w:rPr>
      </w:pPr>
      <w:bookmarkStart w:id="17" w:name="_Toc74153383"/>
      <w:r>
        <w:rPr>
          <w:rFonts w:eastAsia="Times New Roman"/>
          <w:lang w:eastAsia="es-MX"/>
        </w:rPr>
        <w:t>Capítulo 16: propiedad intelectual</w:t>
      </w:r>
      <w:bookmarkEnd w:id="17"/>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es el propietario de todos los derechos de propiedad intelectual relacionados con el Sitio que posee y posee los derechos de usuario relacionados.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acceso al sitio web de Treeconomy Company no confiere al Usuario ningún derecho sobre los derechos de propiedad intelectual relacionados con el Sitio, que sigue siendo propiedad exclusiva de Treeconomy.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Los elementos accesibles en el Sitio, en particular en forma de textos, fotografías, imágenes, iconos, mapas, sonidos, videos, software, bases de datos y datos, también están protegidos por los derechos de propiedad intelectual e industrial y otros derechos de propiedad. por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Salvo lo dispuesto en estos Términos y Condiciones Generales, el Usuario o el Comprador no pueden, bajo ninguna circunstancia, reproducir, representar, modificar, transmitir, publicar, adoptar y adaptar, en ningún medio, por ningún medio, o explotar en de cualquier manera, todo o parte del Sitio sin el consentimiento previo por escrito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Estas Condiciones Generales no implican ninguna transferencia de ningún tipo de derechos de propiedad intelectual sobre los elementos que pertenecen a Treeconomy en beneficio del Usuario.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Sitio, marcas registradas, diseños, modelos, imágenes, textos, fotos, logotipos, gráficos, software y programas, motores de búsqueda, bases de datos, sonidos, videos, nombres de dominio, diseño o cualquier otra información o medio presentado por Treeconomy, sin esta lista siendo exhaustivos, son de su propiedad exclusiva y están protegidos por sus derechos de autor, marca registrada, patente y cualquier otro derecho de propiedad intelectual o industrial que esta reconocido por las leyes vigentes.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Cualquier reproducción y / o representación, total o parcial, de cualquiera de estos derechos, sin la autorización expresa de Treeconomy, está prohibida y constituiría una infracción según el Código de Propiedad Intelectual de los Estados Unidos vigentes a la fecha. En consecuencia, el usuario tiene prohibido realizar cualquier acción o acto que pueda infringir directa o indirectamente los derechos de propiedad intelectual de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Bajo ninguna circunstancia el Usuario puede usar, imprimir o reformatear el contenido del Sitio de la Compañía Treeconomy para ningún otro propósito que no sea el uso privado o familiar. Él o ella se compromete a no descargar, reproducir, transmitir, vender o distribuir el contenido del sitio web Treeconomy.</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Esta prohibición se aplica en particular, pero no exclusivamente, a prácticas como el desguace o el uso de robots con el fin de extraer o reproducir cualquier elemento del sitio web de Treeconomy, incluidas las ofertas de Productos presentados allí, en particular con fines comerciales.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La explotación no autorizada previamente por Treeconomy, por cualquier motivo, de todo o parte del sitio web de Treeconomy puede ser objeto de cualquier acción apropiada, incluidos los procedimientos de infracción.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 inserción de enlaces de hipertexto a cualquier parte del Sitio está prohibida sin autorización previa por escrito de Treeconomy.</w:t>
      </w:r>
    </w:p>
    <w:p>
      <w:pPr>
        <w:pStyle w:val="Ttulo1"/>
        <w:rPr>
          <w:rFonts w:eastAsia="Times New Roman"/>
          <w:sz w:val="27"/>
          <w:szCs w:val="27"/>
          <w:lang w:eastAsia="es-MX"/>
        </w:rPr>
      </w:pPr>
      <w:bookmarkStart w:id="18" w:name="_Toc74153384"/>
      <w:r>
        <w:rPr>
          <w:rFonts w:eastAsia="Times New Roman"/>
          <w:lang w:eastAsia="es-MX"/>
        </w:rPr>
        <w:t>Capítulo 17: Uso del sitio web de la empresa Treeconomy</w:t>
      </w:r>
      <w:bookmarkEnd w:id="18"/>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Treeconomy no garantiza que su sitio web esté libre de defectos, errores o errores ni que puedan ser rectificados. Además, Treeconomy no puede garantizar que el sitio web opere sin interrupción o falla o que sea compatible con cualquier hardware o configuración particular del Comprador y / o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Treeconomy no es responsable de ninguna manera por el mal funcionamiento atribuible al software de terceros.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En ningún caso Treeconomy será responsable de ningún tipo de material previsible o imprevisible o daño inmaterial (incluida la pérdida de beneficios u oportunidad ...) resultante del uso o la imposibilidad de usar su sitio web en parte o en su totalidad.</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Treeconomy no puede controlar todos los sitios web a los que se refiere a través de enlaces de hipertexto, que solo existen para facilitar las búsquedas del Usuario o del Comprador. Treeconomy, por lo tanto, no es responsable de su contenido.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conocen las características y limitaciones de Internet, en particular su desempeño técnico, los tiempos de respuesta para consultar, consultar o transferir datos y los riesgos relacionados con la seguridad de la comunicación.</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Tanto el usuario como el comprador declaran que han verificado que la configuración de la computadora que usan no contiene virus y que está en perfecto estado de funcionamiento.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En el caso de que el sitio web contenga enlaces de hipertexto a otros sitios, es responsabilidad del Comprador y / o del Usuario leer las políticas de los sitios a los que se refiere la empresa Treeconomy, en particular con respecto a la protección de datos personales.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no se compromete con ningún otro sitio web al que el Comprador y / o Usuario pueda tener acceso a través del Sitio web. De ninguna manera se hace responsable del contenido, operación y acceso a estos sitios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creación de un enlace a su sitio web está sujeta a la aprobación previa de Treeconomy.</w:t>
      </w:r>
    </w:p>
    <w:p>
      <w:pPr>
        <w:pStyle w:val="Ttulo1"/>
        <w:rPr>
          <w:rFonts w:eastAsia="Times New Roman"/>
          <w:sz w:val="27"/>
          <w:szCs w:val="27"/>
          <w:lang w:eastAsia="es-MX"/>
        </w:rPr>
      </w:pPr>
      <w:bookmarkStart w:id="19" w:name="_Toc74153385"/>
      <w:r>
        <w:rPr>
          <w:rFonts w:eastAsia="Times New Roman"/>
          <w:lang w:eastAsia="es-MX"/>
        </w:rPr>
        <w:t>Capítulo 18: Protección de datos personales.</w:t>
      </w:r>
      <w:bookmarkEnd w:id="19"/>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La información que el Comprador y / o Usuario proporciona a Treeconomy le permite a Treeconomy procesar y ejecutar Pedidos realizados en el Sitio web.</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También permiten que Treeconomy administre la suscripción del Comprador al boletín.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Además, y al recopilar información relacionada con la adquisición de un Producto, Treeconomy utiliza los datos personales proporcionados por el Comprador y / o el Usuario en esta ocasión para gestionar la publicación de contenido en su Sitio.</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De conformidad Ley de protección de datos, Treeconomy informa al Comprador y / o al Usuario que tiene derecho a rectificar, consultar o modificar y eliminar los datos que se le comuniquen.</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Este derecho puede ejercerse en línea utilizando el formulario provisto para este fin en el Sitio.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Finalmente, al navegar por el sitio web, el Comprador y / o el Usuario aceptan el uso de cookies con fines estadísticos.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Estos son pequeños archivos de texto almacenados en el disco duro del Comprador y / o del Usuario.</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Las cookies utilizadas en el sitio web de la empresa Treeconomy proporcionan acceso a los siguientes servicios: identificación durante una nueva visita, memorización de consultas, posible personalización de las ofertas del Producto de acuerdo con el historial de navegación del Comprador y / o el Usuario en el Sitio web.</w:t>
      </w:r>
    </w:p>
    <w:p>
      <w:pPr>
        <w:pStyle w:val="Ttulo1"/>
        <w:rPr>
          <w:rFonts w:eastAsia="Times New Roman"/>
          <w:lang w:eastAsia="es-MX"/>
        </w:rPr>
      </w:pPr>
      <w:bookmarkStart w:id="20" w:name="_Toc74153386"/>
      <w:r>
        <w:rPr>
          <w:rFonts w:eastAsia="Times New Roman"/>
          <w:lang w:eastAsia="es-MX"/>
        </w:rPr>
        <w:t>Capítulo 19: Ley aplicable y jurisdicciones</w:t>
      </w:r>
      <w:bookmarkEnd w:id="20"/>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Estos Términos y condiciones generales, y más en general las relaciones contractuales establecidas entre el Comprador y Treeconomy, están sujetos a la ley de los Estados Unidos de América.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Cualquier disputa relacionada con su interpretación y / o ejecución se remitirá al poder judicial de este país.</w:t>
      </w:r>
    </w:p>
    <w:p>
      <w:pPr>
        <w:pStyle w:val="Ttulo1"/>
        <w:rPr>
          <w:rFonts w:eastAsia="Times New Roman"/>
          <w:sz w:val="27"/>
          <w:szCs w:val="27"/>
          <w:lang w:eastAsia="es-MX"/>
        </w:rPr>
      </w:pPr>
      <w:bookmarkStart w:id="21" w:name="_Toc74153387"/>
      <w:r>
        <w:rPr>
          <w:rFonts w:eastAsia="Times New Roman"/>
          <w:lang w:eastAsia="es-MX"/>
        </w:rPr>
        <w:t>Capítulo 20: Fuerza mayor</w:t>
      </w:r>
      <w:bookmarkEnd w:id="21"/>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Ninguna de las partes habrá incumplido sus obligaciones contractuales, en la medida en que su ejecución se retrasará, obstaculizará o impedirá debido a un evento fortuito o un caso de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parte afectada por tales circunstancias notificará a la otra dentro de los 7 días hábiles posteriores a su conocimiento, Treeconomy podrá realizar esta notificación por medio de los correos electrónicos suministrados por los clientes al momento de realizar la creación de la cuenta.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Cualquier hecho o circunstancia irresistible, externo a las partes que se considere imprevisible, inevitable, fuera de control y que las partes involucradas no puedan evitar, a pesar de todos los esfuerzos razonables, se considerará un evento fortuito o fuerza mayor.</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Las dos partes se reunirán, dentro de los 30 días, para examinar el impacto del evento y acordar las condiciones bajo las cuales se continuará la ejecución de la orden. Si el evento fortuito o la fuerza mayor dura más de 60 días, la parte lesionada puede cancelar el pedido de Productos.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Además de los eventos fortuitos, Treeconomy extiende la definición de ambos a: el bloqueo de los medios de transporte, el bloqueo de la entrega o el suministro, terremotos, incendios, tormentas, inundaciones, rayos y / o el cierre de las redes de telecomunicaciones, guerras, problemas sociales o pandemias.</w:t>
      </w:r>
    </w:p>
    <w:p>
      <w:pPr>
        <w:pStyle w:val="Normal"/>
        <w:shd w:val="clear" w:color="auto" w:fill="FFFFFF"/>
        <w:spacing w:lineRule="auto" w:line="240" w:before="100" w:after="100"/>
        <w:jc w:val="both"/>
        <w:rPr>
          <w:rStyle w:val="BookTitle"/>
          <w:b w:val="false"/>
          <w:b w:val="false"/>
          <w:bCs w:val="false"/>
          <w:i/>
          <w:i/>
          <w:iCs w:val="false"/>
        </w:rPr>
      </w:pPr>
      <w:r>
        <w:rPr>
          <w:rStyle w:val="BookTitle"/>
          <w:b w:val="false"/>
          <w:bCs w:val="false"/>
          <w:i/>
          <w:iCs w:val="false"/>
        </w:rPr>
        <w:t xml:space="preserve">Capítulo 21: Clientes Comisiones </w:t>
      </w:r>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Treeconomy ofrece a los clientes la oportunidad de alentar a otras personas (personas y profesionales) a realizar una de sus ofertas a cambio de beneficios promocionales, de esta manera el cliente transforma su estado de Cliente a Cliente Comisionista.</w:t>
      </w:r>
      <w:r>
        <w:rPr>
          <w:rFonts w:eastAsia="Times New Roman" w:cs="Times New Roman" w:ascii="Comfortaa Light" w:hAnsi="Comfortaa Light"/>
          <w:color w:val="000000" w:themeColor="text1"/>
          <w:sz w:val="27"/>
          <w:szCs w:val="27"/>
          <w:lang w:val="es-MX" w:eastAsia="es-MX"/>
        </w:rPr>
        <w:t xml:space="preserve"> </w:t>
      </w:r>
      <w:r>
        <w:rPr>
          <w:rFonts w:eastAsia="Times New Roman" w:cs="Arial" w:ascii="Comfortaa Light" w:hAnsi="Comfortaa Light"/>
          <w:color w:val="000000" w:themeColor="text1"/>
          <w:sz w:val="24"/>
          <w:szCs w:val="24"/>
          <w:lang w:val="es-MX" w:eastAsia="es-MX"/>
        </w:rPr>
        <w:t>El cliente comisionista debe ser un cliente activo de Treeconomy que se haya suscrito a al menos una de las ofertas de Treeconomy.</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Para que se valide la Comisión, se debe ingresar el código del comisionista antes del registro del cliente referido, Código que será previamente entregado por Treeconomy al comisionista interesado en promocionar a Treeconomy.</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Cuando uno o más clientes han comprado uno o varios arboles gracias al esfuerzo realizado por el comisionista, este recibirá un 3% de la venta sin incluir impuestos, pago sujeto a que el nuevo cliente usara el código suministrado al comisionista por parte de Treeconomy</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El auto venta o compra dentro del mismo hogar no está permitido. cliente referido debe tener una dirección de correo electrónico y una dirección de facturación diferentes a las de sus clientes referidos. Solo el usuario final del producto será considerado como cliente referido. El cliente referido debe utilizar su propio medio de pago (si el cliente referido utiliza la misma tarjeta de crédito que su padrino, por ejemplo, la Comisión no se tendrá en cuenta). La Comisión opera en un entorno privado. El cliente referido debe ser conocido, amigo o pariente de su patrocinador. Se excluirán las órdenes artificiales para inflar el número de ahijados.</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Treeconomy se reserva el derecho de controlar la precisión de la información proporcionada por los participantes. Los participantes en este proceso (Clientes comisionistas  cliente referido) deben autorizar cualquier verificación con respecto a la validez de su patrocinio. Si, después de la verificación, quedan elementos en disputa, la validación puede ser rechazada.</w:t>
      </w:r>
      <w:r>
        <w:rPr>
          <w:rFonts w:eastAsia="Times New Roman" w:cs="Times New Roman" w:ascii="Comfortaa Light" w:hAnsi="Comfortaa Light"/>
          <w:color w:val="000000" w:themeColor="text1"/>
          <w:sz w:val="27"/>
          <w:szCs w:val="27"/>
          <w:lang w:val="es-MX" w:eastAsia="es-MX"/>
        </w:rPr>
        <w:br/>
        <w:br/>
      </w:r>
      <w:r>
        <w:rPr>
          <w:rFonts w:eastAsia="Times New Roman" w:cs="Arial" w:ascii="Comfortaa Light" w:hAnsi="Comfortaa Light"/>
          <w:color w:val="000000" w:themeColor="text1"/>
          <w:sz w:val="24"/>
          <w:szCs w:val="24"/>
          <w:lang w:val="es-MX" w:eastAsia="es-MX"/>
        </w:rPr>
        <w:t>La validación final de los clientes referidos solo se lleva a cabo una vez que ha expirado el período legal de retiro.</w:t>
      </w:r>
    </w:p>
    <w:p>
      <w:pPr>
        <w:pStyle w:val="Ttulo1"/>
        <w:rPr>
          <w:rFonts w:eastAsia="Times New Roman"/>
          <w:sz w:val="27"/>
          <w:szCs w:val="27"/>
          <w:lang w:eastAsia="es-MX"/>
        </w:rPr>
      </w:pPr>
      <w:bookmarkStart w:id="22" w:name="_Toc74153388"/>
      <w:r>
        <w:rPr>
          <w:rFonts w:eastAsia="Times New Roman"/>
          <w:lang w:eastAsia="es-MX"/>
        </w:rPr>
        <w:t>Capítulo 22: riesgos</w:t>
      </w:r>
      <w:bookmarkEnd w:id="22"/>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Al elegir comprar un árbol de Treeconomy, el cliente está expuesto a diversos riesgos en los cuales Treeconomy cuenta con planes de contingencia para la mayoría de ellos, sin embargo, el cliente debe conocer que Treeconomy no tiene control del 100% de estos riesgos por lo que no se hace responsable, los riesgos principales son: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quiebra de Treeconomy</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 xml:space="preserve">Antes de tomar una decisión de inversión, el cliente debe tener en cuenta que existe un riesgo de incumplimiento por parte de la empresa. Esto último podría resultar en una pérdida total del capital invertido por el cliente debido a la duración de la inversión. Por lo anterior, en caso de que el Treeconomy entre en proceso de quiebra, y ya que los arboles no hacen parte del activo de Treeconomy, la empresa designa a Central de Maderas G&amp;S SAS, empresa colombiana con amplio conocimiento en el sector forestal, para continuar con la operación de los lotes sembrados por Treeconomy a nombre de los clientes para de esta manera minimizar el riesgo </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pérdida total de capital</w:t>
      </w:r>
    </w:p>
    <w:p>
      <w:pPr>
        <w:pStyle w:val="ListParagraph"/>
        <w:shd w:val="clear" w:color="auto" w:fill="FFFFFF"/>
        <w:spacing w:lineRule="auto" w:line="240" w:before="0" w:after="100"/>
        <w:contextualSpacing/>
        <w:jc w:val="both"/>
        <w:rPr>
          <w:rFonts w:ascii="Comfortaa Light" w:hAnsi="Comfortaa Light" w:eastAsia="Times New Roman" w:cs="Arial"/>
          <w:color w:val="000000" w:themeColor="text1"/>
          <w:sz w:val="24"/>
          <w:szCs w:val="24"/>
          <w:lang w:val="es-MX" w:eastAsia="es-MX"/>
        </w:rPr>
      </w:pPr>
      <w:r>
        <w:rPr>
          <w:rFonts w:eastAsia="Times New Roman" w:cs="Arial" w:ascii="Comfortaa Light" w:hAnsi="Comfortaa Light"/>
          <w:color w:val="000000" w:themeColor="text1"/>
          <w:sz w:val="24"/>
          <w:szCs w:val="24"/>
          <w:lang w:val="es-MX" w:eastAsia="es-MX"/>
        </w:rPr>
        <w:t>Todos los riesgos mostrados en esta sección pueden llegar a generar una perdida total de los árboles.</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falta de liquidez</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 oferta de Treeconomy es una inversión a largo plazo que varía según la madurez del árbol. Por lo tanto, Treeconomy no garantiza la liquidez de los activos forestales de sus clientes antes del final del ciclo de vida del árbol. El cliente no tiene derecho a que le devuelvan su árbol o que Treeconomy lo vuelva a comprar.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embargo, Treeconomy se reserva el derecho, a su sola discreción, de adquirir árboles ofrecidos a la venta por el cliente. Treeconomy destaca que esta es una opción simple para canjear a discreción de Treeconomy, pero no constituye ninguna obligación vinculante de Treeconomy frente al cliente. Por lo tanto, Treeconomy puede negarse a volver a comprar árboles para los cuales un cliente ha realizado una solicitud de venta.</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Además, cada cliente puede decidir en cualquier momento vender su árbol a un tercero comprador de su elección. En este caso, el cliente debe notificar a Treeconomy de la designación del beneficiario de la venta para que Treeconomy pueda observar el cambio en la propiedad del árbol y continuar administrándolo y mantenerlo en beneficio del nuevo comprador.</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inflación</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Antes de tomar una decisión de inversión, el cliente también debe tener en cuenta que el valor de la moneda puede fluctuar con el tiempo. En consecuencia, existe el riesgo de depreciación de la moneda que podría dar como resultado una tasa de rendimiento inferior a la tasa de inflación.</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relacionado con el mercado o mercados subyacentes y la depreciación del precio de la madera</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Uno de los objetivos de la inversión propuesta por Treeconomy es lograr una ganancia de capital cuando los árboles maduros finalmente se talan. Sin embargo, se llama la atención del cliente al hecho de que el precio de venta del corte final de árboles maduros en un área forestal está sujeto a incertidumbres relacionadas en particular con las fluctuaciones del mercado y más particularmente con la posibilidad de una caída en los precios de la madera o la posibilidad que el precio de la madera puede ser igual a 0 o que las especies inicialmente adquiridas pueden no satisfacer la demanda futura.</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de incendio, clima o cualquier otro peligro natural: falta de seguro que cubra estos riesgos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Las áreas forestales están sujetas a una serie de riesgos naturales. Por lo tanto, al invertir en un árbol, el cliente debe tener en cuenta en su decisión que los peligros y riesgos naturales (tormentas, enfermedades, incendios, etc.) podrían dañar o destruir los árboles. Treeconomy llama aún más la atención de sus clientes sobre el hecho de que no se ha contratado ningún seguro que cubra los riesgos de daños o destrucción de los árboles.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Antes de tomar una decisión de inversión, el cliente debe tener en cuenta la existencia de riesgos de incendios y meteorológicos (como vientos fuertes, lluvias intensas, lluvia, inundaciones, tormentas, nieve, hielo, olas de calor o frío extremo) o relacionados con cualquier otro problema natural. peligro, que puede resultar en una pérdida total del capital invertido por el cliente.</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b/>
          <w:bCs/>
          <w:color w:val="000000" w:themeColor="text1"/>
          <w:sz w:val="24"/>
          <w:szCs w:val="24"/>
          <w:lang w:val="es-MX" w:eastAsia="es-MX"/>
        </w:rPr>
        <w:t>Riesgo fiscal</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El cliente debe tener en cuenta el impuesto que podría aplicarse a cualquier ganancia de capital realizada al vender un paquete de árboles, un árbol por unidad o el derecho sobre un árbol destinado a la tala. Por lo tanto, Treeconomy recomienda que sus clientes contacten a un asesor fiscal.</w:t>
      </w:r>
    </w:p>
    <w:p>
      <w:pPr>
        <w:pStyle w:val="ListParagraph"/>
        <w:numPr>
          <w:ilvl w:val="0"/>
          <w:numId w:val="5"/>
        </w:numPr>
        <w:shd w:val="clear" w:color="auto" w:fill="FFFFFF"/>
        <w:spacing w:lineRule="auto" w:line="240" w:before="0" w:after="100"/>
        <w:contextualSpacing/>
        <w:jc w:val="both"/>
        <w:rPr>
          <w:rFonts w:ascii="Comfortaa Light" w:hAnsi="Comfortaa Light" w:eastAsia="Times New Roman" w:cs="Times New Roman"/>
          <w:b/>
          <w:b/>
          <w:bCs/>
          <w:color w:val="000000" w:themeColor="text1"/>
          <w:sz w:val="27"/>
          <w:szCs w:val="27"/>
          <w:lang w:val="es-MX" w:eastAsia="es-MX"/>
        </w:rPr>
      </w:pPr>
      <w:r>
        <w:rPr>
          <w:rFonts w:eastAsia="Times New Roman" w:cs="Times New Roman" w:ascii="Comfortaa Light" w:hAnsi="Comfortaa Light"/>
          <w:b/>
          <w:bCs/>
          <w:color w:val="000000" w:themeColor="text1"/>
          <w:sz w:val="27"/>
          <w:szCs w:val="27"/>
          <w:lang w:val="es-MX" w:eastAsia="es-MX"/>
        </w:rPr>
        <w:t>Riesgo de Conflicto armado:</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t>Dentro de las zonas de trabajo de Treeconomy podría llegar a aparecer problemas sociales o de conflicto armado lo cual imposibilitaría a los empleados de Treeconomy continuar con la operación de mantenimiento y administración de los arboles.</w:t>
      </w:r>
    </w:p>
    <w:p>
      <w:pPr>
        <w:pStyle w:val="ListParagraph"/>
        <w:shd w:val="clear" w:color="auto" w:fill="FFFFFF"/>
        <w:spacing w:lineRule="auto" w:line="240" w:before="0" w:after="100"/>
        <w:contextualSpacing/>
        <w:jc w:val="both"/>
        <w:rPr>
          <w:rFonts w:ascii="Comfortaa Light" w:hAnsi="Comfortaa Light" w:eastAsia="Times New Roman" w:cs="Times New Roman"/>
          <w:color w:val="000000" w:themeColor="text1"/>
          <w:sz w:val="27"/>
          <w:szCs w:val="27"/>
          <w:lang w:val="es-MX" w:eastAsia="es-MX"/>
        </w:rPr>
      </w:pPr>
      <w:r>
        <w:rPr>
          <w:rFonts w:eastAsia="Times New Roman" w:cs="Times New Roman" w:ascii="Comfortaa Light" w:hAnsi="Comfortaa Light"/>
          <w:color w:val="000000" w:themeColor="text1"/>
          <w:sz w:val="27"/>
          <w:szCs w:val="27"/>
          <w:lang w:val="es-MX" w:eastAsia="es-MX"/>
        </w:rPr>
      </w:r>
    </w:p>
    <w:p>
      <w:pPr>
        <w:pStyle w:val="Ttulo1"/>
        <w:rPr>
          <w:rFonts w:eastAsia="Times New Roman"/>
          <w:sz w:val="27"/>
          <w:szCs w:val="27"/>
          <w:lang w:eastAsia="es-MX"/>
        </w:rPr>
      </w:pPr>
      <w:bookmarkStart w:id="23" w:name="_Toc74153389"/>
      <w:r>
        <w:rPr>
          <w:rFonts w:eastAsia="Times New Roman"/>
          <w:lang w:eastAsia="es-MX"/>
        </w:rPr>
        <w:t>Capítulo 23: Estipulación para terceros.</w:t>
      </w:r>
      <w:bookmarkEnd w:id="23"/>
    </w:p>
    <w:p>
      <w:pPr>
        <w:pStyle w:val="Normal"/>
        <w:shd w:val="clear" w:color="auto" w:fill="FFFFFF"/>
        <w:spacing w:lineRule="auto" w:line="240" w:before="0" w:after="100"/>
        <w:jc w:val="both"/>
        <w:rPr>
          <w:rFonts w:ascii="Comfortaa Light" w:hAnsi="Comfortaa Light" w:eastAsia="Times New Roman" w:cs="Times New Roman"/>
          <w:color w:val="000000" w:themeColor="text1"/>
          <w:sz w:val="27"/>
          <w:szCs w:val="27"/>
          <w:lang w:val="es-MX" w:eastAsia="es-MX"/>
        </w:rPr>
      </w:pPr>
      <w:r>
        <w:rPr>
          <w:rFonts w:eastAsia="Times New Roman" w:cs="Arial" w:ascii="Comfortaa Light" w:hAnsi="Comfortaa Light"/>
          <w:color w:val="000000" w:themeColor="text1"/>
          <w:sz w:val="24"/>
          <w:szCs w:val="24"/>
          <w:lang w:val="es-MX" w:eastAsia="es-MX"/>
        </w:rPr>
        <w:t>Cuando el Comprador desea ofrecer a un tercero la posibilidad de adquirir Productos, las partes acuerdan que el Comprador, de conformidad con el Código Civil de los Estados Unidos, puede transferir sus derechos resultantes de este contrato a cualquier tercero de su elección. .</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Tan pronto como la designación del beneficiario haya sido notificada a Treeconomy contra el acuse de recibo, los derechos y obligaciones del Comprador en virtud de estos Términos y condiciones generales se transferirán al beneficiario. Si el Comprador decide ejercer su derecho de revocación, es decir, antes de la aceptación del beneficiario, debe notificar a Treeconomy contra el acuse de recibo.</w:t>
      </w:r>
    </w:p>
    <w:p>
      <w:pPr>
        <w:pStyle w:val="Ttulo1"/>
        <w:rPr>
          <w:rFonts w:eastAsia="Times New Roman"/>
          <w:sz w:val="27"/>
          <w:szCs w:val="27"/>
          <w:lang w:eastAsia="es-MX"/>
        </w:rPr>
      </w:pPr>
      <w:bookmarkStart w:id="24" w:name="_Toc74153390"/>
      <w:r>
        <w:rPr>
          <w:rFonts w:eastAsia="Times New Roman"/>
          <w:lang w:eastAsia="es-MX"/>
        </w:rPr>
        <w:t>Capítulo 24: disposiciones finales</w:t>
      </w:r>
      <w:bookmarkEnd w:id="24"/>
    </w:p>
    <w:p>
      <w:pPr>
        <w:pStyle w:val="Normal"/>
        <w:shd w:val="clear" w:color="auto" w:fill="FFFFFF"/>
        <w:spacing w:lineRule="auto" w:line="240" w:before="0" w:after="100"/>
        <w:jc w:val="both"/>
        <w:rPr>
          <w:rFonts w:ascii="Comfortaa Light" w:hAnsi="Comfortaa Light" w:eastAsia="Times New Roman" w:cs="Arial"/>
          <w:color w:val="000000" w:themeColor="text1"/>
          <w:sz w:val="24"/>
          <w:szCs w:val="24"/>
          <w:lang w:val="es-MX" w:eastAsia="es-MX"/>
        </w:rPr>
      </w:pPr>
      <w:r>
        <mc:AlternateContent>
          <mc:Choice Requires="wps">
            <w:drawing>
              <wp:anchor behindDoc="1" distT="0" distB="0" distL="114300" distR="114300" simplePos="0" locked="0" layoutInCell="1" allowOverlap="1" relativeHeight="26" wp14:anchorId="67428355">
                <wp:simplePos x="0" y="0"/>
                <wp:positionH relativeFrom="column">
                  <wp:posOffset>490855</wp:posOffset>
                </wp:positionH>
                <wp:positionV relativeFrom="paragraph">
                  <wp:posOffset>2181860</wp:posOffset>
                </wp:positionV>
                <wp:extent cx="4563745" cy="2399030"/>
                <wp:effectExtent l="0" t="0" r="0" b="0"/>
                <wp:wrapNone/>
                <wp:docPr id="1001" name="Imagen 1" descr="Logotipo&#10;&#10;Descripción generada automáticamente"/>
                <a:graphic xmlns:a="http://schemas.openxmlformats.org/drawingml/2006/main">
                  <a:graphicData uri="http://schemas.openxmlformats.org/drawingml/2006/picture">
                    <pic:pic xmlns:pic="http://schemas.openxmlformats.org/drawingml/2006/picture">
                      <pic:nvPicPr>
                        <pic:cNvPr id="0" name="Imagen 1" descr="Logotipo&#10;&#10;Descripción generada automáticamente"/>
                        <pic:cNvPicPr/>
                      </pic:nvPicPr>
                      <pic:blipFill>
                        <a:blip r:embed="rId4"/>
                        <a:stretch/>
                      </pic:blipFill>
                      <pic:spPr>
                        <a:xfrm>
                          <a:off x="0" y="0"/>
                          <a:ext cx="4563000" cy="2398320"/>
                        </a:xfrm>
                        <a:prstGeom prst="rect">
                          <a:avLst/>
                        </a:prstGeom>
                        <a:ln>
                          <a:noFill/>
                        </a:ln>
                        <a:effectLst>
                          <a:outerShdw algn="ctr" blurRad="50800" dir="5400000" dist="50800" rotWithShape="0">
                            <a:srgbClr val="000000">
                              <a:alpha val="0"/>
                            </a:srgbClr>
                          </a:outerShdw>
                        </a:effectLst>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1" stroked="f" style="position:absolute;margin-left:38.65pt;margin-top:171.8pt;width:359.25pt;height:188.8pt" wp14:anchorId="67428355" type="shapetype_75">
                <v:imagedata r:id="rId4" o:detectmouseclick="t"/>
                <w10:wrap type="none"/>
                <v:stroke color="#3465a4" joinstyle="round" endcap="flat"/>
              </v:shape>
            </w:pict>
          </mc:Fallback>
        </mc:AlternateContent>
      </w:r>
      <w:r>
        <w:rPr>
          <w:rFonts w:eastAsia="Times New Roman" w:cs="Arial" w:ascii="Comfortaa Light" w:hAnsi="Comfortaa Light"/>
          <w:color w:val="000000" w:themeColor="text1"/>
          <w:sz w:val="24"/>
          <w:szCs w:val="24"/>
          <w:lang w:val="es-MX" w:eastAsia="es-MX"/>
        </w:rPr>
        <w:t>Estos Términos y Condiciones Generales están sujetos a la ley de los Estados Unidos de América con la excepción de las reglas de conflicto de leyes. En caso de una disputa relacionada con la formación, validez, interpretación, vencimiento y / o terminación del presente contrato, y en ausencia de un acuerdo amistoso entre las partes, la jurisdicción será conferida a los tribunales competentes. </w:t>
      </w:r>
      <w:r>
        <w:rPr>
          <w:rFonts w:eastAsia="Times New Roman" w:cs="Times New Roman" w:ascii="Comfortaa Light" w:hAnsi="Comfortaa Light"/>
          <w:color w:val="000000" w:themeColor="text1"/>
          <w:sz w:val="27"/>
          <w:szCs w:val="27"/>
          <w:lang w:val="es-MX" w:eastAsia="es-MX"/>
        </w:rPr>
        <w:t xml:space="preserve"> </w:t>
        <w:br/>
      </w:r>
      <w:r>
        <w:rPr>
          <w:rFonts w:eastAsia="Times New Roman" w:cs="Arial" w:ascii="Comfortaa Light" w:hAnsi="Comfortaa Light"/>
          <w:color w:val="000000" w:themeColor="text1"/>
          <w:sz w:val="24"/>
          <w:szCs w:val="24"/>
          <w:lang w:val="es-MX" w:eastAsia="es-MX"/>
        </w:rPr>
        <w:t>El hecho de que Treeconomy no invoque, en ningún momento u otro, ninguna de las disposiciones de estos Términos y Condiciones Generales no se interpretará como una renuncia a su derecho a hacerlo en una fecha posterior.</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Sin previo aviso o información y en cualquier momento, Treeconomy se reserva el derecho de revisar y / o modificar estas Condiciones Generales.</w:t>
      </w:r>
      <w:r>
        <w:rPr>
          <w:rFonts w:eastAsia="Times New Roman" w:cs="Times New Roman" w:ascii="Comfortaa Light" w:hAnsi="Comfortaa Light"/>
          <w:color w:val="000000" w:themeColor="text1"/>
          <w:sz w:val="27"/>
          <w:szCs w:val="27"/>
          <w:lang w:val="es-MX" w:eastAsia="es-MX"/>
        </w:rPr>
        <w:br/>
      </w:r>
      <w:r>
        <w:rPr>
          <w:rFonts w:eastAsia="Times New Roman" w:cs="Arial" w:ascii="Comfortaa Light" w:hAnsi="Comfortaa Light"/>
          <w:color w:val="000000" w:themeColor="text1"/>
          <w:sz w:val="24"/>
          <w:szCs w:val="24"/>
          <w:lang w:val="es-MX" w:eastAsia="es-MX"/>
        </w:rPr>
        <w:t>En el caso de que una de las disposiciones de los Términos y Condiciones Generales se declare nula y sin efecto, se considerará no escrita, sin que esto afecte la validez de las otras disposiciones, a menos que la disposición declarada n</w:t>
      </w:r>
      <w:r>
        <w:rPr>
          <w:lang w:val="es-MX"/>
        </w:rPr>
        <w:t xml:space="preserve"> </w:t>
      </w:r>
      <w:r>
        <w:rPr>
          <w:rFonts w:eastAsia="Times New Roman" w:cs="Arial" w:ascii="Comfortaa Light" w:hAnsi="Comfortaa Light"/>
          <w:color w:val="000000" w:themeColor="text1"/>
          <w:sz w:val="24"/>
          <w:szCs w:val="24"/>
          <w:lang w:val="es-MX" w:eastAsia="es-MX"/>
        </w:rPr>
        <w:t>ula y sin valor sea esencial y decisiva.</w:t>
      </w:r>
    </w:p>
    <w:tbl>
      <w:tblPr>
        <w:tblStyle w:val="Tablaconcuadrcula"/>
        <w:tblW w:w="9350" w:type="dxa"/>
        <w:jc w:val="left"/>
        <w:tblInd w:w="0" w:type="dxa"/>
        <w:tblCellMar>
          <w:top w:w="0" w:type="dxa"/>
          <w:left w:w="108" w:type="dxa"/>
          <w:bottom w:w="0" w:type="dxa"/>
          <w:right w:w="108" w:type="dxa"/>
        </w:tblCellMar>
        <w:tblLook w:lastRow="0" w:firstRow="1" w:lastColumn="0" w:firstColumn="1" w:val="04a0" w:noHBand="0" w:noVBand="1"/>
      </w:tblPr>
      <w:tblGrid>
        <w:gridCol w:w="4675"/>
        <w:gridCol w:w="4674"/>
      </w:tblGrid>
      <w:tr>
        <w:trPr/>
        <w:tc>
          <w:tcPr>
            <w:tcW w:w="4675"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lang w:val="es-MX" w:eastAsia="es-MX"/>
              </w:rPr>
            </w:pPr>
            <w:r>
              <w:rPr>
                <w:rFonts w:cs="Times New Roman"/>
                <w:sz w:val="27"/>
                <w:szCs w:val="27"/>
                <w:lang w:val="es-MX" w:eastAsia="es-MX"/>
              </w:rPr>
              <w:t>Vendedor</w:t>
              <w:br/>
            </w:r>
            <w:r>
              <w:rPr>
                <w:rFonts w:ascii="Comfortaa Light" w:hAnsi="Comfortaa Light"/>
                <w:sz w:val="20"/>
                <w:szCs w:val="20"/>
                <w:lang w:val="es-MX" w:eastAsia="es-MX"/>
              </w:rPr>
              <w:t>Representante legal: David Marin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Treeconomy, INC.</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Para contactarnos: </w:t>
            </w:r>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 xml:space="preserve">Correo electrónico: </w:t>
            </w:r>
            <w:hyperlink r:id="rId5">
              <w:r>
                <w:rPr>
                  <w:rStyle w:val="EnlacedeInternet"/>
                  <w:rFonts w:eastAsia="Times New Roman" w:cs="Arial" w:ascii="Comfortaa Light" w:hAnsi="Comfortaa Light"/>
                  <w:color w:val="000000" w:themeColor="text1"/>
                  <w:sz w:val="20"/>
                  <w:szCs w:val="20"/>
                  <w:lang w:val="es-MX" w:eastAsia="es-MX"/>
                </w:rPr>
                <w:t>invest@Treeconomy.com.co</w:t>
              </w:r>
            </w:hyperlink>
          </w:p>
          <w:p>
            <w:pPr>
              <w:pStyle w:val="NoSpacing"/>
              <w:spacing w:before="0" w:after="0"/>
              <w:rPr>
                <w:rFonts w:ascii="Comfortaa Light" w:hAnsi="Comfortaa Light"/>
                <w:sz w:val="20"/>
                <w:szCs w:val="20"/>
                <w:lang w:val="es-MX" w:eastAsia="es-MX"/>
              </w:rPr>
            </w:pPr>
            <w:r>
              <w:rPr>
                <w:rFonts w:ascii="Comfortaa Light" w:hAnsi="Comfortaa Light"/>
                <w:sz w:val="20"/>
                <w:szCs w:val="20"/>
                <w:lang w:val="es-MX" w:eastAsia="es-MX"/>
              </w:rPr>
              <w:t>Número de teléfono: +1 (202) 766 6468</w:t>
            </w:r>
          </w:p>
          <w:p>
            <w:pPr>
              <w:pStyle w:val="NoSpacing"/>
              <w:spacing w:before="0" w:after="0"/>
              <w:rPr>
                <w:rFonts w:ascii="Comfortaa Light" w:hAnsi="Comfortaa Light"/>
                <w:sz w:val="20"/>
                <w:szCs w:val="20"/>
                <w:highlight w:val="white"/>
                <w:u w:val="single"/>
                <w:lang w:val="es-MX" w:eastAsia="es-MX"/>
              </w:rPr>
            </w:pPr>
            <w:hyperlink r:id="rId6">
              <w:r>
                <w:rPr>
                  <w:rStyle w:val="ListLabel35"/>
                  <w:rFonts w:ascii="Comfortaa Light" w:hAnsi="Comfortaa Light"/>
                  <w:sz w:val="20"/>
                  <w:szCs w:val="20"/>
                  <w:u w:val="single"/>
                  <w:shd w:fill="FFFFFF" w:val="clear"/>
                  <w:lang w:val="es-MX" w:eastAsia="es-MX"/>
                </w:rPr>
                <w:t>www.treeconomy.com.co</w:t>
              </w:r>
            </w:hyperlink>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c>
          <w:tcPr>
            <w:tcW w:w="4674" w:type="dxa"/>
            <w:tcBorders/>
            <w:shd w:fill="auto" w:val="clear"/>
          </w:tcPr>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cs="Times New Roman"/>
                <w:sz w:val="27"/>
                <w:szCs w:val="27"/>
                <w:lang w:val="es-MX" w:eastAsia="es-MX"/>
              </w:rPr>
            </w:pPr>
            <w:r>
              <w:rPr>
                <w:rFonts w:cs="Times New Roman"/>
                <w:sz w:val="27"/>
                <w:szCs w:val="27"/>
                <w:lang w:val="es-MX" w:eastAsia="es-MX"/>
              </w:rPr>
            </w:r>
          </w:p>
          <w:p>
            <w:pPr>
              <w:pStyle w:val="NoSpacing"/>
              <w:spacing w:before="0" w:after="0"/>
              <w:rPr>
                <w:rFonts w:ascii="Comfortaa Light" w:hAnsi="Comfortaa Light"/>
                <w:sz w:val="20"/>
                <w:szCs w:val="20"/>
                <w:highlight w:val="white"/>
                <w:u w:val="single"/>
                <w:lang w:val="es-MX" w:eastAsia="es-MX"/>
              </w:rPr>
            </w:pPr>
            <w:r>
              <w:rPr>
                <w:rFonts w:cs="Times New Roman"/>
                <w:sz w:val="27"/>
                <w:szCs w:val="27"/>
                <w:lang w:val="es-MX" w:eastAsia="es-MX"/>
              </w:rPr>
              <w:t>Comprador</w:t>
            </w:r>
          </w:p>
          <w:p>
            <w:pPr>
              <w:pStyle w:val="NoSpacing"/>
              <w:spacing w:before="0" w:after="0"/>
              <w:rPr/>
            </w:pPr>
            <w:r>
              <w:rPr>
                <w:rFonts w:ascii="Comfortaa Light" w:hAnsi="Comfortaa Light"/>
                <w:sz w:val="20"/>
                <w:szCs w:val="20"/>
                <w:lang w:val="es-MX" w:eastAsia="es-MX"/>
              </w:rPr>
              <w:t xml:space="preserve">Nombre: </w:t>
            </w:r>
            <w:r>
              <w:rPr>
                <w:rFonts w:ascii="Comfortaa Light" w:hAnsi="Comfortaa Light"/>
                <w:sz w:val="20"/>
                <w:szCs w:val="20"/>
                <w:lang w:val="es-MX" w:eastAsia="es-MX"/>
              </w:rPr>
              <w:t xml:space="preserve">Luis Alejandro Cruz Ordóñez</w:t>
            </w:r>
          </w:p>
          <w:p>
            <w:pPr>
              <w:pStyle w:val="NoSpacing"/>
              <w:spacing w:before="0" w:after="0"/>
              <w:rPr/>
            </w:pPr>
            <w:r>
              <w:rPr>
                <w:rFonts w:ascii="Comfortaa Light" w:hAnsi="Comfortaa Light"/>
                <w:sz w:val="20"/>
                <w:szCs w:val="20"/>
                <w:lang w:val="es-MX" w:eastAsia="es-MX"/>
              </w:rPr>
              <w:t>Documento de identidad</w:t>
            </w:r>
            <w:r>
              <w:rPr>
                <w:rFonts w:ascii="Comfortaa Light" w:hAnsi="Comfortaa Light"/>
                <w:sz w:val="20"/>
                <w:szCs w:val="20"/>
                <w:lang w:val="es-MX" w:eastAsia="es-MX"/>
              </w:rPr>
              <w:t xml:space="preserve">: </w:t>
            </w:r>
            <w:r>
              <w:rPr>
                <w:rFonts w:ascii="Comfortaa Light" w:hAnsi="Comfortaa Light"/>
                <w:sz w:val="20"/>
                <w:szCs w:val="20"/>
                <w:lang w:val="es-MX" w:eastAsia="es-MX"/>
              </w:rPr>
              <w:t xml:space="preserve">1061769227</w:t>
            </w:r>
          </w:p>
          <w:p>
            <w:pPr>
              <w:pStyle w:val="NoSpacing"/>
              <w:spacing w:before="0" w:after="0"/>
              <w:rPr/>
            </w:pPr>
            <w:r>
              <w:rPr>
                <w:rFonts w:ascii="Comfortaa Light" w:hAnsi="Comfortaa Light"/>
                <w:sz w:val="20"/>
                <w:szCs w:val="20"/>
                <w:lang w:val="es-MX" w:eastAsia="es-MX"/>
              </w:rPr>
              <w:t xml:space="preserve">Correo electrónico y Usuario: </w:t>
            </w:r>
            <w:r>
              <w:rPr>
                <w:rStyle w:val="EnlacedeInternet"/>
                <w:rFonts w:eastAsia="Times New Roman" w:cs="Arial" w:ascii="Comfortaa Light" w:hAnsi="Comfortaa Light"/>
                <w:color w:val="000000" w:themeColor="text1"/>
                <w:sz w:val="20"/>
                <w:szCs w:val="20"/>
                <w:lang w:val="es-MX" w:eastAsia="es-MX"/>
              </w:rPr>
              <w:t xml:space="preserve">alejocruzzz@gmail.com</w:t>
            </w:r>
          </w:p>
          <w:p>
            <w:pPr>
              <w:pStyle w:val="NoSpacing"/>
              <w:spacing w:before="0" w:after="0"/>
              <w:rPr/>
            </w:pPr>
            <w:r>
              <w:rPr>
                <w:rFonts w:ascii="Comfortaa Light" w:hAnsi="Comfortaa Light"/>
                <w:sz w:val="20"/>
                <w:szCs w:val="20"/>
                <w:lang w:val="es-MX" w:eastAsia="es-MX"/>
              </w:rPr>
              <w:t xml:space="preserve">Número de teléfono: </w:t>
            </w:r>
            <w:r>
              <w:rPr>
                <w:rFonts w:ascii="Comfortaa Light" w:hAnsi="Comfortaa Light"/>
                <w:sz w:val="20"/>
                <w:szCs w:val="20"/>
                <w:lang w:val="es-MX" w:eastAsia="es-MX"/>
              </w:rPr>
              <w:t xml:space="preserve">+573116494967</w:t>
            </w:r>
          </w:p>
          <w:p>
            <w:pPr>
              <w:pStyle w:val="Normal"/>
              <w:spacing w:lineRule="atLeast" w:line="238" w:before="0" w:after="0"/>
              <w:jc w:val="both"/>
              <w:rPr>
                <w:rFonts w:ascii="Comfortaa Light" w:hAnsi="Comfortaa Light" w:eastAsia="Times New Roman" w:cs="Times New Roman"/>
                <w:color w:val="000000" w:themeColor="text1"/>
                <w:lang w:val="es-MX" w:eastAsia="es-MX"/>
              </w:rPr>
            </w:pPr>
            <w:r>
              <w:rPr>
                <w:rFonts w:eastAsia="Times New Roman" w:cs="Times New Roman" w:ascii="Comfortaa Light" w:hAnsi="Comfortaa Light"/>
                <w:color w:val="000000" w:themeColor="text1"/>
                <w:lang w:val="es-MX" w:eastAsia="es-MX"/>
              </w:rPr>
            </w:r>
          </w:p>
        </w:tc>
      </w:tr>
    </w:tbl>
    <w:p>
      <w:pPr>
        <w:pStyle w:val="NoSpacing"/>
        <w:rPr>
          <w:rFonts w:ascii="Comfortaa Light" w:hAnsi="Comfortaa Light"/>
          <w:sz w:val="20"/>
          <w:szCs w:val="20"/>
          <w:highlight w:val="white"/>
          <w:u w:val="single"/>
          <w:lang w:val="es-MX" w:eastAsia="es-MX"/>
        </w:rPr>
      </w:pPr>
      <w:r>
        <w:rPr>
          <w:rFonts w:ascii="Comfortaa Light" w:hAnsi="Comfortaa Light"/>
          <w:sz w:val="20"/>
          <w:szCs w:val="20"/>
          <w:u w:val="single"/>
          <w:shd w:fill="FFFFFF" w:val="clear"/>
          <w:lang w:val="es-MX" w:eastAsia="es-MX"/>
        </w:rPr>
      </w:r>
    </w:p>
    <w:p>
      <w:pPr>
        <w:pStyle w:val="Normal"/>
        <w:spacing w:before="0" w:after="160"/>
        <w:jc w:val="both"/>
        <w:rPr/>
      </w:pPr>
      <w:r>
        <w:rPr/>
      </w:r>
    </w:p>
    <w:sectPr>
      <w:headerReference w:type="default" r:id="rId7"/>
      <w:footerReference w:type="default" r:id="rId8"/>
      <w:type w:val="nextPage"/>
      <w:pgSz w:w="12240" w:h="15840"/>
      <w:pgMar w:left="1440" w:right="1440" w:header="72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mfortaa">
    <w:charset w:val="01"/>
    <w:family w:val="roman"/>
    <w:pitch w:val="variable"/>
  </w:font>
  <w:font w:name="Segoe UI">
    <w:charset w:val="01"/>
    <w:family w:val="roman"/>
    <w:pitch w:val="variable"/>
  </w:font>
  <w:font w:name="Calibri Light">
    <w:charset w:val="01"/>
    <w:family w:val="roman"/>
    <w:pitch w:val="variable"/>
  </w:font>
  <w:font w:name="Comfortaa Light">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mc:AlternateContent>
        <mc:Choice Requires="wps">
          <w:drawing>
            <wp:anchor behindDoc="1" distT="0" distB="0" distL="0" distR="0" simplePos="0" locked="0" layoutInCell="1" allowOverlap="1" relativeHeight="25">
              <wp:simplePos x="0" y="0"/>
              <wp:positionH relativeFrom="column">
                <wp:align>center</wp:align>
              </wp:positionH>
              <wp:positionV relativeFrom="margin">
                <wp:align>center</wp:align>
              </wp:positionV>
              <wp:extent cx="5941695" cy="3129280"/>
              <wp:effectExtent l="0" t="0" r="0" b="0"/>
              <wp:wrapNone/>
              <wp:docPr id="2" name="WordPictureWatermark1042537689"/>
              <a:graphic xmlns:a="http://schemas.openxmlformats.org/drawingml/2006/main">
                <a:graphicData uri="http://schemas.openxmlformats.org/drawingml/2006/picture">
                  <pic:pic xmlns:pic="http://schemas.openxmlformats.org/drawingml/2006/picture">
                    <pic:nvPicPr>
                      <pic:cNvPr id="1" name="WordPictureWatermark1042537689" descr=""/>
                      <pic:cNvPicPr/>
                    </pic:nvPicPr>
                    <pic:blipFill>
                      <a:blip r:embed="rId1"/>
                      <a:stretch/>
                    </pic:blipFill>
                    <pic:spPr>
                      <a:xfrm>
                        <a:off x="0" y="0"/>
                        <a:ext cx="5941080" cy="3128760"/>
                      </a:xfrm>
                      <a:prstGeom prst="rect">
                        <a:avLst/>
                      </a:prstGeom>
                      <a:ln>
                        <a:noFill/>
                      </a:ln>
                    </pic:spPr>
                  </pic:pic>
                </a:graphicData>
              </a:graphic>
            </wp:anchor>
          </w:drawing>
        </mc:Choice>
        <mc:Fallback>
          <w:pict>
            <v:shape id="WordPictureWatermark1042537689" o:spid="shape_0" stroked="f" style="position:absolute;margin-left:0.1pt;margin-top:200.8pt;width:467.75pt;height:246.3pt;mso-position-horizontal:center;mso-position-vertical:center;mso-position-vertical-relative:margin" type="shapetype_75">
              <v:imagedata r:id="rId1" o:detectmouseclick="t"/>
              <w10:wrap type="none"/>
              <v:stroke color="#3465a4" joinstyle="round" endcap="flat"/>
            </v:shape>
          </w:pict>
        </mc:Fallback>
      </mc:AlternateContent>
    </w:r>
    <w:r>
      <w:rPr/>
      <w:t>V</w:t>
    </w:r>
    <w:r>
      <w:rPr/>
      <w:t>ersion 003 -Espa</w:t>
    </w:r>
    <w:r>
      <w:rPr>
        <w:lang w:val="es-MX"/>
      </w:rPr>
      <w:t xml:space="preserve">ñol </w:t>
    </w:r>
    <w:r>
      <w:rPr/>
      <w:t>09/06/2021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Ttulo1">
    <w:name w:val="Heading 1"/>
    <w:basedOn w:val="Normal"/>
    <w:next w:val="Normal"/>
    <w:link w:val="Ttulo1Car"/>
    <w:autoRedefine/>
    <w:uiPriority w:val="9"/>
    <w:qFormat/>
    <w:rsid w:val="00db456b"/>
    <w:pPr>
      <w:keepNext w:val="true"/>
      <w:keepLines/>
      <w:spacing w:before="240" w:after="0"/>
      <w:outlineLvl w:val="0"/>
    </w:pPr>
    <w:rPr>
      <w:rFonts w:ascii="Comfortaa" w:hAnsi="Comfortaa" w:eastAsia="" w:cs="" w:cstheme="majorBidi" w:eastAsiaTheme="majorEastAsia"/>
      <w:i/>
      <w:color w:val="035941"/>
      <w:sz w:val="32"/>
      <w:szCs w:val="32"/>
      <w:lang w:val="es-MX"/>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1e2c7f"/>
    <w:rPr>
      <w:color w:val="0000FF"/>
      <w:u w:val="single"/>
    </w:rPr>
  </w:style>
  <w:style w:type="character" w:styleId="UnresolvedMention">
    <w:name w:val="Unresolved Mention"/>
    <w:basedOn w:val="DefaultParagraphFont"/>
    <w:uiPriority w:val="99"/>
    <w:semiHidden/>
    <w:unhideWhenUsed/>
    <w:qFormat/>
    <w:rsid w:val="001e2c7f"/>
    <w:rPr>
      <w:color w:val="605E5C"/>
      <w:shd w:fill="E1DFDD" w:val="clear"/>
    </w:rPr>
  </w:style>
  <w:style w:type="character" w:styleId="Annotationreference">
    <w:name w:val="annotation reference"/>
    <w:basedOn w:val="DefaultParagraphFont"/>
    <w:uiPriority w:val="99"/>
    <w:semiHidden/>
    <w:unhideWhenUsed/>
    <w:qFormat/>
    <w:rsid w:val="00f25deb"/>
    <w:rPr>
      <w:sz w:val="16"/>
      <w:szCs w:val="16"/>
    </w:rPr>
  </w:style>
  <w:style w:type="character" w:styleId="TextocomentarioCar" w:customStyle="1">
    <w:name w:val="Texto comentario Car"/>
    <w:basedOn w:val="DefaultParagraphFont"/>
    <w:link w:val="Textocomentario"/>
    <w:uiPriority w:val="99"/>
    <w:semiHidden/>
    <w:qFormat/>
    <w:rsid w:val="00f25deb"/>
    <w:rPr>
      <w:sz w:val="20"/>
      <w:szCs w:val="20"/>
    </w:rPr>
  </w:style>
  <w:style w:type="character" w:styleId="AsuntodelcomentarioCar" w:customStyle="1">
    <w:name w:val="Asunto del comentario Car"/>
    <w:basedOn w:val="TextocomentarioCar"/>
    <w:link w:val="Asuntodelcomentario"/>
    <w:uiPriority w:val="99"/>
    <w:semiHidden/>
    <w:qFormat/>
    <w:rsid w:val="00f25deb"/>
    <w:rPr>
      <w:b/>
      <w:bCs/>
      <w:sz w:val="20"/>
      <w:szCs w:val="20"/>
    </w:rPr>
  </w:style>
  <w:style w:type="character" w:styleId="TextodegloboCar" w:customStyle="1">
    <w:name w:val="Texto de globo Car"/>
    <w:basedOn w:val="DefaultParagraphFont"/>
    <w:link w:val="Textodeglobo"/>
    <w:uiPriority w:val="99"/>
    <w:semiHidden/>
    <w:qFormat/>
    <w:rsid w:val="00f25deb"/>
    <w:rPr>
      <w:rFonts w:ascii="Segoe UI" w:hAnsi="Segoe UI" w:cs="Segoe UI"/>
      <w:sz w:val="18"/>
      <w:szCs w:val="18"/>
    </w:rPr>
  </w:style>
  <w:style w:type="character" w:styleId="Ttulo1Car" w:customStyle="1">
    <w:name w:val="Título 1 Car"/>
    <w:basedOn w:val="DefaultParagraphFont"/>
    <w:link w:val="Ttulo1"/>
    <w:uiPriority w:val="9"/>
    <w:qFormat/>
    <w:rsid w:val="00db456b"/>
    <w:rPr>
      <w:rFonts w:ascii="Comfortaa" w:hAnsi="Comfortaa" w:eastAsia="" w:cs="" w:cstheme="majorBidi" w:eastAsiaTheme="majorEastAsia"/>
      <w:i/>
      <w:color w:val="035941"/>
      <w:sz w:val="32"/>
      <w:szCs w:val="32"/>
      <w:lang w:val="es-MX"/>
    </w:rPr>
  </w:style>
  <w:style w:type="character" w:styleId="TtuloCar" w:customStyle="1">
    <w:name w:val="Título Car"/>
    <w:basedOn w:val="DefaultParagraphFont"/>
    <w:link w:val="Ttulo"/>
    <w:uiPriority w:val="10"/>
    <w:qFormat/>
    <w:rsid w:val="009a5919"/>
    <w:rPr>
      <w:rFonts w:ascii="Calibri Light" w:hAnsi="Calibri Light" w:eastAsia="" w:cs="" w:asciiTheme="majorHAnsi" w:cstheme="majorBidi" w:eastAsiaTheme="majorEastAsia" w:hAnsiTheme="majorHAnsi"/>
      <w:spacing w:val="-10"/>
      <w:kern w:val="2"/>
      <w:sz w:val="56"/>
      <w:szCs w:val="56"/>
    </w:rPr>
  </w:style>
  <w:style w:type="character" w:styleId="BookTitle">
    <w:name w:val="Book Title"/>
    <w:basedOn w:val="Ttulo1Car"/>
    <w:uiPriority w:val="33"/>
    <w:qFormat/>
    <w:rsid w:val="009a5919"/>
    <w:rPr>
      <w:rFonts w:ascii="Comfortaa" w:hAnsi="Comfortaa" w:eastAsia="" w:cs="" w:cstheme="majorBidi" w:eastAsiaTheme="majorEastAsia"/>
      <w:b/>
      <w:bCs/>
      <w:i w:val="false"/>
      <w:iCs/>
      <w:color w:val="035941"/>
      <w:spacing w:val="5"/>
      <w:sz w:val="32"/>
      <w:szCs w:val="32"/>
      <w:lang w:val="es-MX"/>
    </w:rPr>
  </w:style>
  <w:style w:type="character" w:styleId="Estilo1Car" w:customStyle="1">
    <w:name w:val="Estilo1 Car"/>
    <w:basedOn w:val="Ttulo1Car"/>
    <w:link w:val="Estilo1"/>
    <w:qFormat/>
    <w:rsid w:val="009a5919"/>
    <w:rPr>
      <w:rFonts w:ascii="Comfortaa" w:hAnsi="Comfortaa" w:eastAsia="Times New Roman" w:cs="" w:cstheme="majorBidi"/>
      <w:i/>
      <w:color w:val="035941"/>
      <w:sz w:val="32"/>
      <w:szCs w:val="32"/>
      <w:lang w:val="es-MX" w:eastAsia="es-MX"/>
    </w:rPr>
  </w:style>
  <w:style w:type="character" w:styleId="EncabezadoCar" w:customStyle="1">
    <w:name w:val="Encabezado Car"/>
    <w:basedOn w:val="DefaultParagraphFont"/>
    <w:link w:val="Encabezado"/>
    <w:uiPriority w:val="99"/>
    <w:qFormat/>
    <w:rsid w:val="00493375"/>
    <w:rPr/>
  </w:style>
  <w:style w:type="character" w:styleId="PiedepginaCar" w:customStyle="1">
    <w:name w:val="Pie de página Car"/>
    <w:basedOn w:val="DefaultParagraphFont"/>
    <w:link w:val="Piedepgina"/>
    <w:uiPriority w:val="99"/>
    <w:qFormat/>
    <w:rsid w:val="00493375"/>
    <w:rPr/>
  </w:style>
  <w:style w:type="character" w:styleId="ListLabel1">
    <w:name w:val="ListLabel 1"/>
    <w:qFormat/>
    <w:rPr>
      <w:rFonts w:ascii="Comfortaa Light" w:hAnsi="Comfortaa Light"/>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Comfortaa Light" w:hAnsi="Comfortaa Light"/>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ascii="Comfortaa Light" w:hAnsi="Comfortaa Light" w:eastAsia="Times New Roman" w:cs="Arial"/>
      <w:color w:val="000000" w:themeColor="text1"/>
      <w:sz w:val="20"/>
      <w:szCs w:val="20"/>
      <w:lang w:val="es-MX" w:eastAsia="es-MX"/>
    </w:rPr>
  </w:style>
  <w:style w:type="character" w:styleId="ListLabel35">
    <w:name w:val="ListLabel 35"/>
    <w:qFormat/>
    <w:rPr>
      <w:rFonts w:ascii="Comfortaa Light" w:hAnsi="Comfortaa Light"/>
      <w:sz w:val="20"/>
      <w:szCs w:val="20"/>
      <w:u w:val="single"/>
      <w:shd w:fill="FFFFFF" w:val="clear"/>
      <w:lang w:val="es-MX" w:eastAsia="es-MX"/>
    </w:rPr>
  </w:style>
  <w:style w:type="character" w:styleId="ListLabel36">
    <w:name w:val="ListLabel 36"/>
    <w:qFormat/>
    <w:rPr>
      <w:rFonts w:ascii="Comfortaa Light" w:hAnsi="Comfortaa Light" w:eastAsia="Times New Roman" w:cs="Arial"/>
      <w:color w:val="000000" w:themeColor="text1"/>
      <w:sz w:val="20"/>
      <w:szCs w:val="20"/>
      <w:highlight w:val="yellow"/>
      <w:lang w:val="es-MX" w:eastAsia="es-MX"/>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semiHidden/>
    <w:unhideWhenUsed/>
    <w:qFormat/>
    <w:rsid w:val="001e2c7f"/>
    <w:pPr>
      <w:spacing w:lineRule="auto" w:line="240" w:beforeAutospacing="1" w:afterAutospacing="1"/>
    </w:pPr>
    <w:rPr>
      <w:rFonts w:ascii="Times New Roman" w:hAnsi="Times New Roman" w:eastAsia="Times New Roman" w:cs="Times New Roman"/>
      <w:sz w:val="24"/>
      <w:szCs w:val="24"/>
      <w:lang w:val="es-MX" w:eastAsia="es-MX"/>
    </w:rPr>
  </w:style>
  <w:style w:type="paragraph" w:styleId="Annotationtext">
    <w:name w:val="annotation text"/>
    <w:basedOn w:val="Normal"/>
    <w:link w:val="TextocomentarioCar"/>
    <w:uiPriority w:val="99"/>
    <w:semiHidden/>
    <w:unhideWhenUsed/>
    <w:qFormat/>
    <w:rsid w:val="00f25deb"/>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25deb"/>
    <w:pPr/>
    <w:rPr>
      <w:b/>
      <w:bCs/>
    </w:rPr>
  </w:style>
  <w:style w:type="paragraph" w:styleId="BalloonText">
    <w:name w:val="Balloon Text"/>
    <w:basedOn w:val="Normal"/>
    <w:link w:val="TextodegloboCar"/>
    <w:uiPriority w:val="99"/>
    <w:semiHidden/>
    <w:unhideWhenUsed/>
    <w:qFormat/>
    <w:rsid w:val="00f25deb"/>
    <w:pPr>
      <w:spacing w:lineRule="auto" w:line="240" w:before="0" w:after="0"/>
    </w:pPr>
    <w:rPr>
      <w:rFonts w:ascii="Segoe UI" w:hAnsi="Segoe UI" w:cs="Segoe UI"/>
      <w:sz w:val="18"/>
      <w:szCs w:val="18"/>
    </w:rPr>
  </w:style>
  <w:style w:type="paragraph" w:styleId="Titular">
    <w:name w:val="Title"/>
    <w:basedOn w:val="Normal"/>
    <w:next w:val="Normal"/>
    <w:link w:val="TtuloCar"/>
    <w:uiPriority w:val="10"/>
    <w:qFormat/>
    <w:rsid w:val="009a5919"/>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Estilo1" w:customStyle="1">
    <w:name w:val="Estilo1"/>
    <w:basedOn w:val="Ttulo1"/>
    <w:link w:val="Estilo1Car"/>
    <w:qFormat/>
    <w:rsid w:val="009a5919"/>
    <w:pPr/>
    <w:rPr>
      <w:rFonts w:eastAsia="Times New Roman"/>
      <w:lang w:eastAsia="es-MX"/>
    </w:rPr>
  </w:style>
  <w:style w:type="paragraph" w:styleId="TOCHeading">
    <w:name w:val="TOC Heading"/>
    <w:basedOn w:val="Ttulo1"/>
    <w:next w:val="Normal"/>
    <w:uiPriority w:val="39"/>
    <w:unhideWhenUsed/>
    <w:qFormat/>
    <w:rsid w:val="009a5919"/>
    <w:pPr/>
    <w:rPr>
      <w:lang w:eastAsia="es-MX"/>
    </w:rPr>
  </w:style>
  <w:style w:type="paragraph" w:styleId="Sumario1">
    <w:name w:val="TOC 1"/>
    <w:basedOn w:val="Normal"/>
    <w:next w:val="Normal"/>
    <w:autoRedefine/>
    <w:uiPriority w:val="39"/>
    <w:unhideWhenUsed/>
    <w:rsid w:val="009a5919"/>
    <w:pPr>
      <w:spacing w:before="0" w:after="100"/>
    </w:pPr>
    <w:rPr/>
  </w:style>
  <w:style w:type="paragraph" w:styleId="ListParagraph">
    <w:name w:val="List Paragraph"/>
    <w:basedOn w:val="Normal"/>
    <w:uiPriority w:val="34"/>
    <w:qFormat/>
    <w:rsid w:val="00ce57f7"/>
    <w:pPr>
      <w:spacing w:before="0" w:after="160"/>
      <w:ind w:left="720" w:hanging="0"/>
      <w:contextualSpacing/>
    </w:pPr>
    <w:rPr/>
  </w:style>
  <w:style w:type="paragraph" w:styleId="Cabecera">
    <w:name w:val="Header"/>
    <w:basedOn w:val="Normal"/>
    <w:link w:val="EncabezadoCar"/>
    <w:uiPriority w:val="99"/>
    <w:unhideWhenUsed/>
    <w:rsid w:val="00493375"/>
    <w:pPr>
      <w:tabs>
        <w:tab w:val="center" w:pos="4680" w:leader="none"/>
        <w:tab w:val="right" w:pos="9360" w:leader="none"/>
      </w:tabs>
      <w:spacing w:lineRule="auto" w:line="240" w:before="0" w:after="0"/>
    </w:pPr>
    <w:rPr/>
  </w:style>
  <w:style w:type="paragraph" w:styleId="Piedepgina">
    <w:name w:val="Footer"/>
    <w:basedOn w:val="Normal"/>
    <w:link w:val="PiedepginaCar"/>
    <w:uiPriority w:val="99"/>
    <w:unhideWhenUsed/>
    <w:rsid w:val="00493375"/>
    <w:pPr>
      <w:tabs>
        <w:tab w:val="center" w:pos="4680" w:leader="none"/>
        <w:tab w:val="right" w:pos="9360" w:leader="none"/>
      </w:tabs>
      <w:spacing w:lineRule="auto" w:line="240" w:before="0" w:after="0"/>
    </w:pPr>
    <w:rPr/>
  </w:style>
  <w:style w:type="paragraph" w:styleId="NoSpacing">
    <w:name w:val="No Spacing"/>
    <w:uiPriority w:val="1"/>
    <w:qFormat/>
    <w:rsid w:val="00493375"/>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c606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vest@Treeconomy.com.co" TargetMode="External"/><Relationship Id="rId3" Type="http://schemas.openxmlformats.org/officeDocument/2006/relationships/hyperlink" Target="https://translate.google.com/translate?hl=en&amp;prev=_t&amp;sl=en&amp;tl=es&amp;u=https://ecotree.green/en/" TargetMode="External"/><Relationship Id="rId4" Type="http://schemas.openxmlformats.org/officeDocument/2006/relationships/image" Target="media/image1.png"/><Relationship Id="rId5" Type="http://schemas.openxmlformats.org/officeDocument/2006/relationships/hyperlink" Target="mailto:invest@Treeconomy.com.co" TargetMode="External"/><Relationship Id="rId6" Type="http://schemas.openxmlformats.org/officeDocument/2006/relationships/hyperlink" Target="https://translate.google.com/translate?hl=en&amp;prev=_t&amp;sl=en&amp;tl=es&amp;u=https://ecotree.green/en/"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E379C2-FA85-42A7-B35B-844D9AB2A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Application>LibreOffice/6.0.7.3$Linux_X86_64 LibreOffice_project/00m0$Build-3</Application>
  <Pages>23</Pages>
  <Words>8905</Words>
  <Characters>46653</Characters>
  <CharactersWithSpaces>55455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2022-07-25T20:34:00Z</dcterms:created>
  <dc:creator>David  Marin</dc:creator>
  <dc:description/>
  <dc:language>es-CO</dc:language>
  <cp:lastModifiedBy/>
  <cp:lastPrinted>2022-07-25T21:20:00Z</cp:lastPrinted>
  <dcterms:modified xsi:type="dcterms:W3CDTF">2022-08-02T16:23:33Z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