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DOCUMENTO DE LA METODOLOGIA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34"/>
        <w:gridCol w:w="5026"/>
        <w:tblGridChange w:id="0">
          <w:tblGrid>
            <w:gridCol w:w="4334"/>
            <w:gridCol w:w="5026"/>
          </w:tblGrid>
        </w:tblGridChange>
      </w:tblGrid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WEB ADMINISTRABLE PARA GRANJAS PORCINOS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SOFTPORC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606060" w:val="clear"/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NOMBRE DE LA METODOLOGIA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Metodología del proceso unificado de desarrollo de software (RUP (Proceso Unificado de Rational)).</w:t>
            </w:r>
          </w:p>
          <w:p w:rsidR="00000000" w:rsidDel="00000000" w:rsidP="00000000" w:rsidRDefault="00000000" w:rsidRPr="00000000" w14:paraId="0000000D">
            <w:pPr>
              <w:contextualSpacing w:val="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606060" w:val="clear"/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DESCRIPCION DE LA METODOLOGIA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Es una metodología de desarrollo de software que está basado en componentes e interfaces bien definidas, y junto con el Lenguaje Unificado de Modelado (UML), constituye la metodología estándar más utilizada para el análisis, implementación y documentación de sistemas orientados a objetos. RUP no es un sistema con pasos firmemente establecidos, sino un conjunto de metodologías adaptables al contexto y necesidades de cada organización. Lo que hace único a la metodología RUP, es que los casos de uso no son sólo una herramienta para especificar los requisitos del sistema, sino que también guían su diseño, implementación y prueba. Los casos de uso constituyen un elemento integrador y una guía del trabajo. Además de utilizar los casos de uso para guiar el proceso; se presta especial atención al establecimiento temprano de una buena arquitectura que no se vea fuertemente impactada ante cambios posteriores durante la construcción y el mantenimiento. También este propone que cada fase se desarrolle en iteraciones.</w:t>
            </w:r>
          </w:p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firstLine="709"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606060" w:val="clear"/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DESCRIPCION DEL CICLO DE VIDA (PRODUCTO)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Para el caso de nuestro software (SOFTPORC) hemos decidido que él se desarrollara en un modelo de ciclo de vida incremental, ya que decidimos partir el software en módulos.</w:t>
            </w:r>
          </w:p>
          <w:p w:rsidR="00000000" w:rsidDel="00000000" w:rsidP="00000000" w:rsidRDefault="00000000" w:rsidRPr="00000000" w14:paraId="00000019">
            <w:pPr>
              <w:contextualSpacing w:val="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Recordemos el concepto de ciclo de vida incremental: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Este modelo se desarrolla el sistema para satisfacer un subconjunto de requisitos especificados y en posteriores versiones se incrementa el sistema con nuevas funcionalidades que satisfagan más requisitos. 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Algunas características que se van a tener en cuenta son: 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br w:type="textWrapping"/>
              <w:t xml:space="preserve">• Cada secuencia lineal produce un producto operacional con cada incremento de la misma forma que progresa el tiempo en el calendario. </w:t>
              <w:br w:type="textWrapping"/>
              <w:t xml:space="preserve">• El primer incremento es a menudo el núcleo.</w:t>
              <w:br w:type="textWrapping"/>
              <w:t xml:space="preserve">• Como un resultado de evaluación y/o utilización se desarrolla un plan para el incremento siguiente, este proceso se repite hasta llegar al producto completo.</w:t>
              <w:br w:type="textWrapping"/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Las ventajas que obtendremos de usar este ciclo de vida serán: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</w:t>
              <w:br w:type="textWrapping"/>
              <w:t xml:space="preserve">• Al ir desarrollando parte de las funcionalidades, es más fácil determinar si los requerimientos planeados para los niveles subsiguientes son correctos. </w:t>
              <w:br w:type="textWrapping"/>
              <w:t xml:space="preserve">• Si un error importante es realizado, sólo la última iteración necesita ser descartada y utilizar el incremento previo. 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Requisitos para sacar el mayor provecho de este ciclo de vida: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br w:type="textWrapping"/>
              <w:t xml:space="preserve">• Se presupone que todos los requisitos se han definido al inicio. </w:t>
              <w:br w:type="textWrapping"/>
              <w:t xml:space="preserve">• Se requiere de una experiencia importante para definir los incrementos de forma de distribuir en ellos las tareas en forma proporcional </w:t>
            </w:r>
          </w:p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4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sectPr>
      <w:headerReference r:id="rId6" w:type="default"/>
      <w:headerReference r:id="rId7" w:type="even"/>
      <w:footerReference r:id="rId8" w:type="default"/>
      <w:pgSz w:h="16834" w:w="11909"/>
      <w:pgMar w:bottom="1560" w:top="1701" w:left="993" w:right="12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82.0" w:type="dxa"/>
      <w:jc w:val="left"/>
      <w:tblInd w:w="-74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815"/>
      <w:gridCol w:w="3967"/>
      <w:tblGridChange w:id="0">
        <w:tblGrid>
          <w:gridCol w:w="5815"/>
          <w:gridCol w:w="3967"/>
        </w:tblGrid>
      </w:tblGridChange>
    </w:tblGrid>
    <w:tr>
      <w:trPr>
        <w:trHeight w:val="30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40">
          <w:pPr>
            <w:contextualSpacing w:val="0"/>
            <w:rPr>
              <w:i w:val="0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Elaborado: &lt;</w:t>
          </w:r>
          <w:r w:rsidDel="00000000" w:rsidR="00000000" w:rsidRPr="00000000">
            <w:rPr>
              <w:i w:val="1"/>
              <w:vertAlign w:val="baseline"/>
              <w:rtl w:val="0"/>
            </w:rPr>
            <w:t xml:space="preserve">Indique nombre del responsable del documento&gt;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20" w:hRule="atLeast"/>
      </w:trPr>
      <w:tc>
        <w:tcPr>
          <w:vAlign w:val="top"/>
        </w:tcPr>
        <w:p w:rsidR="00000000" w:rsidDel="00000000" w:rsidP="00000000" w:rsidRDefault="00000000" w:rsidRPr="00000000" w14:paraId="00000042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Aprobado: &lt;</w:t>
          </w:r>
          <w:r w:rsidDel="00000000" w:rsidR="00000000" w:rsidRPr="00000000">
            <w:rPr>
              <w:i w:val="1"/>
              <w:vertAlign w:val="baseline"/>
              <w:rtl w:val="0"/>
            </w:rPr>
            <w:t xml:space="preserve">Persona que revisó y aprobó el formato&gt;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3">
          <w:pPr>
            <w:contextualSpacing w:val="0"/>
            <w:rPr>
              <w:i w:val="0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Fecha: &lt;</w:t>
          </w:r>
          <w:r w:rsidDel="00000000" w:rsidR="00000000" w:rsidRPr="00000000">
            <w:rPr>
              <w:i w:val="1"/>
              <w:vertAlign w:val="baseline"/>
              <w:rtl w:val="0"/>
            </w:rPr>
            <w:t xml:space="preserve">Fecha revisado&gt;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85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31"/>
      <w:gridCol w:w="3895"/>
      <w:gridCol w:w="2297"/>
      <w:gridCol w:w="2029"/>
      <w:tblGridChange w:id="0">
        <w:tblGrid>
          <w:gridCol w:w="1631"/>
          <w:gridCol w:w="3895"/>
          <w:gridCol w:w="2297"/>
          <w:gridCol w:w="2029"/>
        </w:tblGrid>
      </w:tblGridChange>
    </w:tblGrid>
    <w:tr>
      <w:trPr>
        <w:trHeight w:val="700" w:hRule="atLeast"/>
      </w:trPr>
      <w:tc>
        <w:tcPr>
          <w:vMerge w:val="restart"/>
          <w:vAlign w:val="top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426" w:right="0" w:hanging="426"/>
            <w:contextualSpacing w:val="0"/>
            <w:jc w:val="center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838835" cy="714375"/>
                <wp:effectExtent b="0" l="0" r="0" t="0"/>
                <wp:docPr descr="logo UFPS" id="1" name="image3.jpg"/>
                <a:graphic>
                  <a:graphicData uri="http://schemas.openxmlformats.org/drawingml/2006/picture">
                    <pic:pic>
                      <pic:nvPicPr>
                        <pic:cNvPr descr="logo UFPS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3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426" w:right="0" w:hanging="426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859790" cy="86106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790" cy="8610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top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UNIVERSIDAD FRANCISCO DE PAULA SANTANDER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PROGRAMA DE INGENIERIA DE SISTEMAS-GIDIS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PROYECTO “SOFTPORC “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METODOLOGIA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IDENTIFICACIÓN: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AD-MTD-02</w:t>
          </w:r>
        </w:p>
      </w:tc>
    </w:tr>
    <w:tr>
      <w:trPr>
        <w:trHeight w:val="12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FECHA EMISIÓN: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vMerge w:val="continue"/>
          <w:vAlign w:val="top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pos="204"/>
      </w:tabs>
      <w:jc w:val="both"/>
    </w:pPr>
    <w:rPr>
      <w:rFonts w:ascii="Arial" w:cs="Arial" w:eastAsia="Arial" w:hAnsi="Arial"/>
      <w:b w:val="1"/>
      <w:i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ind w:right="360"/>
      <w:jc w:val="center"/>
    </w:pPr>
    <w:rPr>
      <w:b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