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3D42" w14:textId="77777777" w:rsidR="001B5E72" w:rsidRPr="001B5E72" w:rsidRDefault="001B5E72">
      <w:pPr>
        <w:spacing w:after="0"/>
        <w:rPr>
          <w:b/>
          <w:color w:val="114F69"/>
          <w:sz w:val="20"/>
        </w:rPr>
      </w:pPr>
    </w:p>
    <w:p w14:paraId="7A1A93F6" w14:textId="77777777" w:rsidR="001B5E72" w:rsidRPr="001B5E72" w:rsidRDefault="001B5E72">
      <w:pPr>
        <w:spacing w:after="0"/>
        <w:rPr>
          <w:b/>
          <w:color w:val="114F69"/>
          <w:sz w:val="20"/>
        </w:rPr>
      </w:pPr>
    </w:p>
    <w:p w14:paraId="557F91CB" w14:textId="77777777" w:rsidR="001B5E72" w:rsidRPr="001B5E72" w:rsidRDefault="001B5E72">
      <w:pPr>
        <w:spacing w:after="0"/>
        <w:rPr>
          <w:b/>
          <w:color w:val="114F69"/>
          <w:sz w:val="20"/>
        </w:rPr>
      </w:pPr>
    </w:p>
    <w:p w14:paraId="63BC9CC2" w14:textId="77777777" w:rsidR="001B5E72" w:rsidRPr="001B5E72" w:rsidRDefault="001B5E72">
      <w:pPr>
        <w:spacing w:after="0"/>
        <w:rPr>
          <w:b/>
          <w:color w:val="114F69"/>
          <w:sz w:val="20"/>
        </w:rPr>
      </w:pPr>
    </w:p>
    <w:p w14:paraId="274D2E31" w14:textId="77777777" w:rsidR="001B5E72" w:rsidRPr="001B5E72" w:rsidRDefault="001B5E72">
      <w:pPr>
        <w:spacing w:after="0"/>
        <w:rPr>
          <w:b/>
          <w:color w:val="114F69"/>
          <w:sz w:val="20"/>
        </w:rPr>
      </w:pPr>
    </w:p>
    <w:p w14:paraId="62E541BF" w14:textId="4BCE52FA" w:rsidR="003A0E71" w:rsidRPr="001B5E72" w:rsidRDefault="001B5E72">
      <w:pPr>
        <w:spacing w:after="0"/>
      </w:pPr>
      <w:r w:rsidRPr="001B5E72">
        <w:rPr>
          <w:rFonts w:ascii="Aptos Display" w:hAnsi="Aptos Display"/>
          <w:b/>
          <w:color w:val="114F69"/>
          <w:sz w:val="80"/>
        </w:rPr>
        <w:t xml:space="preserve">Fintech - </w:t>
      </w:r>
      <w:proofErr w:type="spellStart"/>
      <w:r w:rsidR="00000000" w:rsidRPr="001B5E72">
        <w:rPr>
          <w:rFonts w:ascii="Aptos Display" w:hAnsi="Aptos Display"/>
          <w:b/>
          <w:color w:val="114F69"/>
          <w:sz w:val="80"/>
        </w:rPr>
        <w:t>PagoFlex</w:t>
      </w:r>
      <w:proofErr w:type="spellEnd"/>
    </w:p>
    <w:p w14:paraId="10181900" w14:textId="77777777" w:rsidR="003A0E71" w:rsidRPr="001B5E72" w:rsidRDefault="00000000">
      <w:pPr>
        <w:spacing w:after="320"/>
      </w:pPr>
      <w:r w:rsidRPr="001B5E72">
        <w:rPr>
          <w:sz w:val="44"/>
        </w:rPr>
        <w:t>Documento de sustento técnico</w:t>
      </w:r>
    </w:p>
    <w:p w14:paraId="0783DBF6" w14:textId="16FACADF" w:rsidR="003A0E71" w:rsidRPr="001B5E72" w:rsidRDefault="003A0E71">
      <w:pPr>
        <w:spacing w:after="460"/>
      </w:pPr>
    </w:p>
    <w:p w14:paraId="155F5DA5" w14:textId="77777777" w:rsidR="001B5E72" w:rsidRPr="001B5E72" w:rsidRDefault="001B5E72">
      <w:pPr>
        <w:spacing w:after="460"/>
      </w:pPr>
    </w:p>
    <w:p w14:paraId="1C68EAA2" w14:textId="77777777" w:rsidR="001B5E72" w:rsidRPr="001B5E72" w:rsidRDefault="001B5E72">
      <w:pPr>
        <w:spacing w:after="460"/>
      </w:pPr>
    </w:p>
    <w:p w14:paraId="57A0A82E" w14:textId="77777777" w:rsidR="001B5E72" w:rsidRPr="001B5E72" w:rsidRDefault="001B5E72">
      <w:pPr>
        <w:spacing w:after="4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A0E71" w:rsidRPr="001B5E72" w14:paraId="3E6EEAB4" w14:textId="77777777">
        <w:tc>
          <w:tcPr>
            <w:tcW w:w="4819" w:type="dxa"/>
            <w:shd w:val="clear" w:color="auto" w:fill="ECF2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5F78C5" w14:textId="77777777" w:rsidR="003A0E71" w:rsidRPr="001B5E72" w:rsidRDefault="00000000">
            <w:pPr>
              <w:rPr>
                <w:b/>
              </w:rPr>
            </w:pPr>
            <w:r w:rsidRPr="001B5E72">
              <w:rPr>
                <w:b/>
              </w:rPr>
              <w:t>A</w:t>
            </w:r>
            <w:r w:rsidR="001B5E72" w:rsidRPr="001B5E72">
              <w:rPr>
                <w:b/>
              </w:rPr>
              <w:t>lumno</w:t>
            </w:r>
          </w:p>
          <w:p w14:paraId="0967341A" w14:textId="77777777" w:rsidR="001B5E72" w:rsidRPr="001B5E72" w:rsidRDefault="001B5E72">
            <w:pPr>
              <w:rPr>
                <w:b/>
              </w:rPr>
            </w:pPr>
          </w:p>
          <w:p w14:paraId="689A205E" w14:textId="3596DB6E" w:rsidR="001B5E72" w:rsidRPr="001B5E72" w:rsidRDefault="001B5E72">
            <w:r w:rsidRPr="001B5E72">
              <w:rPr>
                <w:b/>
              </w:rPr>
              <w:t>Profesor</w:t>
            </w:r>
          </w:p>
        </w:tc>
        <w:tc>
          <w:tcPr>
            <w:tcW w:w="4819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951282" w14:textId="49C40F5F" w:rsidR="003A0E71" w:rsidRPr="001B5E72" w:rsidRDefault="001B5E72">
            <w:r w:rsidRPr="001B5E72">
              <w:t xml:space="preserve">Diego </w:t>
            </w:r>
            <w:r w:rsidR="00A811B5">
              <w:t xml:space="preserve">Enrique </w:t>
            </w:r>
            <w:r w:rsidRPr="001B5E72">
              <w:t>Kohle</w:t>
            </w:r>
            <w:r w:rsidR="00A811B5">
              <w:t xml:space="preserve"> Núñez</w:t>
            </w:r>
          </w:p>
          <w:p w14:paraId="17D90DDB" w14:textId="77777777" w:rsidR="001B5E72" w:rsidRPr="001B5E72" w:rsidRDefault="001B5E72"/>
          <w:p w14:paraId="7BD8923B" w14:textId="3FFE94A7" w:rsidR="001B5E72" w:rsidRPr="001B5E72" w:rsidRDefault="001B5E72">
            <w:proofErr w:type="spellStart"/>
            <w:r w:rsidRPr="001B5E72">
              <w:t>Victor</w:t>
            </w:r>
            <w:proofErr w:type="spellEnd"/>
            <w:r w:rsidRPr="001B5E72">
              <w:t xml:space="preserve"> </w:t>
            </w:r>
            <w:r w:rsidR="00A811B5">
              <w:t xml:space="preserve">Isidro </w:t>
            </w:r>
            <w:r w:rsidRPr="001B5E72">
              <w:t>Rosendo</w:t>
            </w:r>
            <w:r w:rsidR="00A811B5">
              <w:t xml:space="preserve"> Lugo</w:t>
            </w:r>
          </w:p>
        </w:tc>
      </w:tr>
      <w:tr w:rsidR="003A0E71" w:rsidRPr="001B5E72" w14:paraId="5B09E451" w14:textId="77777777">
        <w:tc>
          <w:tcPr>
            <w:tcW w:w="4819" w:type="dxa"/>
            <w:shd w:val="clear" w:color="auto" w:fill="ECF2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2ECC3D" w14:textId="255402D6" w:rsidR="003A0E71" w:rsidRPr="001B5E72" w:rsidRDefault="001B5E72">
            <w:r w:rsidRPr="001B5E72">
              <w:rPr>
                <w:b/>
              </w:rPr>
              <w:t>Asignatura</w:t>
            </w:r>
          </w:p>
        </w:tc>
        <w:tc>
          <w:tcPr>
            <w:tcW w:w="4819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E5E199F" w14:textId="0BA525F9" w:rsidR="003A0E71" w:rsidRPr="001B5E72" w:rsidRDefault="001B5E72">
            <w:r w:rsidRPr="001B5E72">
              <w:t>DSY1105 · Desarrollo de Aplicaciones Móviles</w:t>
            </w:r>
            <w:r w:rsidRPr="001B5E72">
              <w:t xml:space="preserve"> 014D</w:t>
            </w:r>
          </w:p>
        </w:tc>
      </w:tr>
      <w:tr w:rsidR="003A0E71" w:rsidRPr="001B5E72" w14:paraId="267953DB" w14:textId="77777777">
        <w:tc>
          <w:tcPr>
            <w:tcW w:w="4819" w:type="dxa"/>
            <w:shd w:val="clear" w:color="auto" w:fill="ECF2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88E56C" w14:textId="31273366" w:rsidR="003A0E71" w:rsidRPr="001B5E72" w:rsidRDefault="00000000">
            <w:r w:rsidRPr="001B5E72">
              <w:rPr>
                <w:b/>
              </w:rPr>
              <w:t>Fecha de entrega</w:t>
            </w:r>
          </w:p>
        </w:tc>
        <w:tc>
          <w:tcPr>
            <w:tcW w:w="4819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D62C97" w14:textId="77777777" w:rsidR="003A0E71" w:rsidRPr="001B5E72" w:rsidRDefault="00000000">
            <w:r w:rsidRPr="001B5E72">
              <w:t>25 de octubre de 2026</w:t>
            </w:r>
          </w:p>
        </w:tc>
      </w:tr>
    </w:tbl>
    <w:p w14:paraId="1792B87A" w14:textId="7E9CCB99" w:rsidR="003A0E71" w:rsidRPr="001B5E72" w:rsidRDefault="001B5E72">
      <w:pPr>
        <w:spacing w:before="600"/>
      </w:pPr>
      <w:r w:rsidRPr="001B5E72">
        <w:t>P</w:t>
      </w:r>
      <w:r w:rsidR="00000000" w:rsidRPr="001B5E72">
        <w:t>rototipo funcional con datos de prueba y pagos simulados</w:t>
      </w:r>
      <w:r w:rsidRPr="001B5E72">
        <w:t>.</w:t>
      </w:r>
    </w:p>
    <w:p w14:paraId="6E0CB96B" w14:textId="77777777" w:rsidR="001B5E72" w:rsidRPr="001B5E72" w:rsidRDefault="001B5E72">
      <w:pPr>
        <w:spacing w:before="600"/>
      </w:pPr>
    </w:p>
    <w:p w14:paraId="176A51E4" w14:textId="77777777" w:rsidR="001B5E72" w:rsidRPr="001B5E72" w:rsidRDefault="001B5E72">
      <w:pPr>
        <w:spacing w:before="600"/>
      </w:pPr>
    </w:p>
    <w:p w14:paraId="41312BCC" w14:textId="77777777" w:rsidR="001B5E72" w:rsidRPr="001B5E72" w:rsidRDefault="001B5E72">
      <w:pPr>
        <w:spacing w:before="600"/>
      </w:pPr>
    </w:p>
    <w:p w14:paraId="7F550560" w14:textId="77777777" w:rsidR="001B5E72" w:rsidRPr="001B5E72" w:rsidRDefault="001B5E72">
      <w:pPr>
        <w:spacing w:before="600"/>
      </w:pPr>
    </w:p>
    <w:p w14:paraId="7BB9D0F2" w14:textId="77777777" w:rsidR="001B5E72" w:rsidRPr="001B5E72" w:rsidRDefault="001B5E72">
      <w:pPr>
        <w:spacing w:before="600"/>
      </w:pPr>
    </w:p>
    <w:p w14:paraId="3D58A183" w14:textId="23C17D76" w:rsidR="003A0E71" w:rsidRPr="007B18B9" w:rsidRDefault="00000000" w:rsidP="007B18B9">
      <w:pPr>
        <w:pStyle w:val="Ttulo1"/>
        <w:rPr>
          <w:b w:val="0"/>
          <w:bCs w:val="0"/>
        </w:rPr>
      </w:pPr>
      <w:r w:rsidRPr="007B18B9">
        <w:rPr>
          <w:b w:val="0"/>
          <w:bCs w:val="0"/>
        </w:rPr>
        <w:lastRenderedPageBreak/>
        <w:t>1</w:t>
      </w:r>
      <w:r w:rsidRPr="007B18B9">
        <w:rPr>
          <w:rStyle w:val="Ttulo1Car"/>
          <w:b/>
          <w:bCs/>
        </w:rPr>
        <w:t>. Contexto y propósito</w:t>
      </w:r>
    </w:p>
    <w:p w14:paraId="0C38E82C" w14:textId="17292C6B" w:rsidR="003A0E71" w:rsidRPr="001B5E72" w:rsidRDefault="00000000">
      <w:r w:rsidRPr="001B5E72">
        <w:t xml:space="preserve">El caso plantea que </w:t>
      </w:r>
      <w:proofErr w:type="spellStart"/>
      <w:r w:rsidRPr="001B5E72">
        <w:t>PagoFlex</w:t>
      </w:r>
      <w:proofErr w:type="spellEnd"/>
      <w:r w:rsidRPr="001B5E72">
        <w:t xml:space="preserve"> atiende a empresas que requieren recaudar pagos periódicos. Dado que los usuarios suelen interactuar aproximadamente una vez al mes, el </w:t>
      </w:r>
      <w:r w:rsidR="001B5E72" w:rsidRPr="001B5E72">
        <w:t>objetivo</w:t>
      </w:r>
      <w:r w:rsidRPr="001B5E72">
        <w:t xml:space="preserve"> es ofrecer un punto de contacto móvil adicional que resulte útil entre vencimientos y favorezca la continuidad de uso.</w:t>
      </w:r>
    </w:p>
    <w:p w14:paraId="045B0EF9" w14:textId="123E4B22" w:rsidR="003A0E71" w:rsidRPr="001B5E72" w:rsidRDefault="00000000">
      <w:pPr>
        <w:pStyle w:val="Ttulo2"/>
      </w:pPr>
      <w:r w:rsidRPr="001B5E72">
        <w:t>1.1 Alcance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3A0E71" w:rsidRPr="001B5E72" w14:paraId="6EA00424" w14:textId="77777777">
        <w:trPr>
          <w:tblHeader/>
          <w:jc w:val="center"/>
        </w:trPr>
        <w:tc>
          <w:tcPr>
            <w:tcW w:w="2551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A09C0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Actor / módulo</w:t>
            </w:r>
          </w:p>
        </w:tc>
        <w:tc>
          <w:tcPr>
            <w:tcW w:w="7087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4D36D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Capacidad disponible</w:t>
            </w:r>
          </w:p>
        </w:tc>
      </w:tr>
      <w:tr w:rsidR="003A0E71" w:rsidRPr="001B5E72" w14:paraId="2744513D" w14:textId="77777777">
        <w:trPr>
          <w:jc w:val="center"/>
        </w:trPr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BC98D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Usuario final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FCC10" w14:textId="7FF1F632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 xml:space="preserve">Registro e inicio de </w:t>
            </w:r>
            <w:r w:rsidR="001B5E72" w:rsidRPr="001B5E72">
              <w:rPr>
                <w:sz w:val="17"/>
              </w:rPr>
              <w:t>sesi</w:t>
            </w:r>
            <w:r w:rsidR="001B5E72">
              <w:rPr>
                <w:sz w:val="17"/>
              </w:rPr>
              <w:t>ó</w:t>
            </w:r>
            <w:r w:rsidR="001B5E72" w:rsidRPr="001B5E72">
              <w:rPr>
                <w:sz w:val="17"/>
              </w:rPr>
              <w:t>n:</w:t>
            </w:r>
            <w:r w:rsidRPr="001B5E72">
              <w:rPr>
                <w:sz w:val="17"/>
              </w:rPr>
              <w:t xml:space="preserve"> compromisos</w:t>
            </w:r>
            <w:r w:rsidR="001B5E72" w:rsidRPr="001B5E72">
              <w:rPr>
                <w:sz w:val="17"/>
              </w:rPr>
              <w:t>,</w:t>
            </w:r>
            <w:r w:rsidRPr="001B5E72">
              <w:rPr>
                <w:sz w:val="17"/>
              </w:rPr>
              <w:t xml:space="preserve"> resumen</w:t>
            </w:r>
            <w:r w:rsidR="001B5E72" w:rsidRPr="001B5E72">
              <w:rPr>
                <w:sz w:val="17"/>
              </w:rPr>
              <w:t>,</w:t>
            </w:r>
            <w:r w:rsidRPr="001B5E72">
              <w:rPr>
                <w:sz w:val="17"/>
              </w:rPr>
              <w:t xml:space="preserve"> detalle y pago simulado</w:t>
            </w:r>
            <w:r w:rsidR="001B5E72" w:rsidRPr="001B5E72">
              <w:rPr>
                <w:sz w:val="17"/>
              </w:rPr>
              <w:t>.</w:t>
            </w:r>
            <w:r w:rsidRPr="001B5E72">
              <w:rPr>
                <w:sz w:val="17"/>
              </w:rPr>
              <w:t xml:space="preserve"> </w:t>
            </w:r>
            <w:r w:rsidR="001B5E72" w:rsidRPr="001B5E72">
              <w:rPr>
                <w:sz w:val="17"/>
              </w:rPr>
              <w:t>C</w:t>
            </w:r>
            <w:r w:rsidRPr="001B5E72">
              <w:rPr>
                <w:sz w:val="17"/>
              </w:rPr>
              <w:t>omprobantes</w:t>
            </w:r>
            <w:r w:rsidR="001B5E72" w:rsidRPr="001B5E72">
              <w:rPr>
                <w:sz w:val="17"/>
              </w:rPr>
              <w:t>,</w:t>
            </w:r>
            <w:r w:rsidRPr="001B5E72">
              <w:rPr>
                <w:sz w:val="17"/>
              </w:rPr>
              <w:t xml:space="preserve"> historial filtrable</w:t>
            </w:r>
            <w:r w:rsidR="001B5E72" w:rsidRPr="001B5E72">
              <w:rPr>
                <w:sz w:val="17"/>
              </w:rPr>
              <w:t>,</w:t>
            </w:r>
            <w:r w:rsidRPr="001B5E72">
              <w:rPr>
                <w:sz w:val="17"/>
              </w:rPr>
              <w:t xml:space="preserve"> indicador de cumplimiento</w:t>
            </w:r>
            <w:r w:rsidR="001B5E72" w:rsidRPr="001B5E72">
              <w:rPr>
                <w:sz w:val="17"/>
              </w:rPr>
              <w:t>,</w:t>
            </w:r>
            <w:r w:rsidRPr="001B5E72">
              <w:rPr>
                <w:sz w:val="17"/>
              </w:rPr>
              <w:t xml:space="preserve"> reconocimientos</w:t>
            </w:r>
            <w:r w:rsidR="001B5E72" w:rsidRPr="001B5E72">
              <w:rPr>
                <w:sz w:val="17"/>
              </w:rPr>
              <w:t>,</w:t>
            </w:r>
            <w:r w:rsidRPr="001B5E72">
              <w:rPr>
                <w:sz w:val="17"/>
              </w:rPr>
              <w:t xml:space="preserve"> perfil y fotografía</w:t>
            </w:r>
            <w:r w:rsidR="001B5E72" w:rsidRPr="001B5E72">
              <w:rPr>
                <w:sz w:val="17"/>
              </w:rPr>
              <w:t>.</w:t>
            </w:r>
            <w:r w:rsidRPr="001B5E72">
              <w:rPr>
                <w:sz w:val="17"/>
              </w:rPr>
              <w:t xml:space="preserve"> creación y seguimiento de reportes.</w:t>
            </w:r>
          </w:p>
        </w:tc>
      </w:tr>
      <w:tr w:rsidR="003A0E71" w:rsidRPr="001B5E72" w14:paraId="1652F1AF" w14:textId="77777777">
        <w:trPr>
          <w:jc w:val="center"/>
        </w:trPr>
        <w:tc>
          <w:tcPr>
            <w:tcW w:w="2551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D5952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 xml:space="preserve">Agente </w:t>
            </w:r>
            <w:proofErr w:type="spellStart"/>
            <w:r w:rsidRPr="001B5E72">
              <w:rPr>
                <w:sz w:val="17"/>
              </w:rPr>
              <w:t>PagoFlex</w:t>
            </w:r>
            <w:proofErr w:type="spellEnd"/>
          </w:p>
        </w:tc>
        <w:tc>
          <w:tcPr>
            <w:tcW w:w="7087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84F31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Consulta de reportes, toma de casos, respuesta y resolución, con persistencia local.</w:t>
            </w:r>
          </w:p>
        </w:tc>
      </w:tr>
      <w:tr w:rsidR="003A0E71" w:rsidRPr="001B5E72" w14:paraId="27E75285" w14:textId="77777777">
        <w:trPr>
          <w:jc w:val="center"/>
        </w:trPr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E79C1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Datos y servicios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196E9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SQLite local para compromisos, pagos, reportes y fotografías; consulta externa de cotizaciones EUR/USD exclusivamente para visualización.</w:t>
            </w:r>
          </w:p>
        </w:tc>
      </w:tr>
    </w:tbl>
    <w:p w14:paraId="7055850A" w14:textId="77777777" w:rsidR="003A0E71" w:rsidRPr="001B5E72" w:rsidRDefault="003A0E71">
      <w:pPr>
        <w:spacing w:after="0"/>
      </w:pPr>
    </w:p>
    <w:p w14:paraId="1BDDD0D6" w14:textId="77777777" w:rsidR="003A0E71" w:rsidRPr="001B5E72" w:rsidRDefault="00000000">
      <w:pPr>
        <w:pStyle w:val="Ttulo2"/>
      </w:pPr>
      <w:r w:rsidRPr="001B5E72">
        <w:t>1.2 Delimitaciones</w:t>
      </w:r>
    </w:p>
    <w:p w14:paraId="27A1737E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Los pagos son simulados: </w:t>
      </w:r>
      <w:r w:rsidRPr="001B5E72">
        <w:t>no hay cargos bancarios, tarjetas ni interacción con pasarelas productivas.</w:t>
      </w:r>
    </w:p>
    <w:p w14:paraId="77D862C4" w14:textId="7DA0613B" w:rsidR="003A0E71" w:rsidRPr="001B5E72" w:rsidRDefault="00000000">
      <w:pPr>
        <w:pStyle w:val="Listaconvietas"/>
      </w:pPr>
      <w:r w:rsidRPr="001B5E72">
        <w:rPr>
          <w:b/>
        </w:rPr>
        <w:t xml:space="preserve">Dos roles: </w:t>
      </w:r>
      <w:r w:rsidRPr="001B5E72">
        <w:t>usuario final y agente. El ejecutivo de empresa</w:t>
      </w:r>
      <w:r w:rsidR="001B5E72">
        <w:t xml:space="preserve"> (Administrador)</w:t>
      </w:r>
      <w:r w:rsidRPr="001B5E72">
        <w:t xml:space="preserve"> no forma parte de esta versión.</w:t>
      </w:r>
    </w:p>
    <w:p w14:paraId="4351E9AC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Enfoque de hábito: </w:t>
      </w:r>
      <w:r w:rsidRPr="001B5E72">
        <w:t>reconocimientos por puntualidad; no se implementan notificaciones programadas ni un programa de recomendación de organizaciones.</w:t>
      </w:r>
    </w:p>
    <w:p w14:paraId="387E37B0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Datos ficticios: </w:t>
      </w:r>
      <w:r w:rsidRPr="001B5E72">
        <w:t xml:space="preserve">se utilizan cuentas y compromisos de demostración; no se integran servicios internos de </w:t>
      </w:r>
      <w:proofErr w:type="spellStart"/>
      <w:r w:rsidRPr="001B5E72">
        <w:t>PagoFlex</w:t>
      </w:r>
      <w:proofErr w:type="spellEnd"/>
      <w:r w:rsidRPr="001B5E72">
        <w:t>.</w:t>
      </w:r>
    </w:p>
    <w:p w14:paraId="5D2B2A5C" w14:textId="77777777" w:rsidR="003A0E71" w:rsidRPr="001B5E72" w:rsidRDefault="00000000">
      <w:pPr>
        <w:pStyle w:val="Ttulo2"/>
      </w:pPr>
      <w:r w:rsidRPr="001B5E72">
        <w:t>1.3 Sustento de la funcionalidad de hábito</w:t>
      </w:r>
    </w:p>
    <w:p w14:paraId="5C04F9F1" w14:textId="05848773" w:rsidR="003A0E71" w:rsidRPr="001B5E72" w:rsidRDefault="00000000">
      <w:r w:rsidRPr="001B5E72">
        <w:t>La propuesta incorpora un ciclo de consulta y retroalimentación</w:t>
      </w:r>
      <w:r w:rsidR="001B5E72">
        <w:t>:</w:t>
      </w:r>
      <w:r w:rsidRPr="001B5E72">
        <w:t xml:space="preserve"> el vencimiento motiva a revisar la aplicación, el usuario observa su situación, realiza o gestiona un pago simulado y recibe indicadores y reconocimientos. Este diseño se inspira en el marco de hábitos «</w:t>
      </w:r>
      <w:proofErr w:type="spellStart"/>
      <w:r w:rsidRPr="001B5E72">
        <w:t>Hooked</w:t>
      </w:r>
      <w:proofErr w:type="spellEnd"/>
      <w:r w:rsidRPr="001B5E72">
        <w:t>»; no pretende demostrar un cambio conductual medido ni efectos reales sobre la cobranza.</w:t>
      </w:r>
    </w:p>
    <w:p w14:paraId="45F56951" w14:textId="77777777" w:rsidR="003A0E71" w:rsidRPr="001B5E72" w:rsidRDefault="00000000">
      <w:r w:rsidRPr="001B5E72">
        <w:br w:type="page"/>
      </w:r>
    </w:p>
    <w:p w14:paraId="7945F530" w14:textId="77777777" w:rsidR="007B18B9" w:rsidRDefault="007B18B9">
      <w:pPr>
        <w:pStyle w:val="Ttulo1"/>
      </w:pPr>
    </w:p>
    <w:p w14:paraId="72D62F4D" w14:textId="02E72A14" w:rsidR="003A0E71" w:rsidRPr="001B5E72" w:rsidRDefault="00000000">
      <w:pPr>
        <w:pStyle w:val="Ttulo1"/>
      </w:pPr>
      <w:r w:rsidRPr="001B5E72">
        <w:t>2. Arquitectura técnica</w:t>
      </w:r>
    </w:p>
    <w:p w14:paraId="1DE185E0" w14:textId="4E14F6AB" w:rsidR="003A0E71" w:rsidRPr="001B5E72" w:rsidRDefault="00000000">
      <w:r w:rsidRPr="001B5E72">
        <w:t xml:space="preserve">La aplicación se desarrolla en </w:t>
      </w:r>
      <w:proofErr w:type="spellStart"/>
      <w:r w:rsidRPr="001B5E72">
        <w:t>Kotlin</w:t>
      </w:r>
      <w:proofErr w:type="spellEnd"/>
      <w:r w:rsidRPr="001B5E72">
        <w:t xml:space="preserve"> con </w:t>
      </w:r>
      <w:proofErr w:type="spellStart"/>
      <w:r w:rsidRPr="001B5E72">
        <w:t>Jetpack</w:t>
      </w:r>
      <w:proofErr w:type="spellEnd"/>
      <w:r w:rsidRPr="001B5E72">
        <w:t xml:space="preserve"> </w:t>
      </w:r>
      <w:proofErr w:type="spellStart"/>
      <w:r w:rsidRPr="001B5E72">
        <w:t>Compose</w:t>
      </w:r>
      <w:proofErr w:type="spellEnd"/>
      <w:r w:rsidRPr="001B5E72">
        <w:t xml:space="preserve"> y organiza el flujo mediante una estructura MVVM. Los modelos representan usuarios, empresas, compromisos, pagos, reportes y roles.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3A0E71" w:rsidRPr="001B5E72" w14:paraId="3282D76C" w14:textId="77777777">
        <w:trPr>
          <w:tblHeader/>
          <w:jc w:val="center"/>
        </w:trPr>
        <w:tc>
          <w:tcPr>
            <w:tcW w:w="1701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9A13D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3969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B8A37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Componentes representativos</w:t>
            </w:r>
          </w:p>
        </w:tc>
        <w:tc>
          <w:tcPr>
            <w:tcW w:w="3969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20691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Responsabilidad</w:t>
            </w:r>
          </w:p>
        </w:tc>
      </w:tr>
      <w:tr w:rsidR="003A0E71" w:rsidRPr="001B5E72" w14:paraId="2522F07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F0F8B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Presentación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42202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screens</w:t>
            </w:r>
            <w:proofErr w:type="spellEnd"/>
            <w:r w:rsidRPr="001B5E72">
              <w:rPr>
                <w:sz w:val="17"/>
              </w:rPr>
              <w:t xml:space="preserve">/, </w:t>
            </w:r>
            <w:proofErr w:type="spellStart"/>
            <w:r w:rsidRPr="001B5E72">
              <w:rPr>
                <w:sz w:val="17"/>
              </w:rPr>
              <w:t>components</w:t>
            </w:r>
            <w:proofErr w:type="spellEnd"/>
            <w:r w:rsidRPr="001B5E72">
              <w:rPr>
                <w:sz w:val="17"/>
              </w:rPr>
              <w:t xml:space="preserve">/, </w:t>
            </w:r>
            <w:proofErr w:type="spellStart"/>
            <w:r w:rsidRPr="001B5E72">
              <w:rPr>
                <w:sz w:val="17"/>
              </w:rPr>
              <w:t>theme</w:t>
            </w:r>
            <w:proofErr w:type="spellEnd"/>
            <w:r w:rsidRPr="001B5E72">
              <w:rPr>
                <w:sz w:val="17"/>
              </w:rPr>
              <w:t>/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990C1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 xml:space="preserve">Pantallas </w:t>
            </w:r>
            <w:proofErr w:type="spellStart"/>
            <w:r w:rsidRPr="001B5E72">
              <w:rPr>
                <w:sz w:val="17"/>
              </w:rPr>
              <w:t>Compose</w:t>
            </w:r>
            <w:proofErr w:type="spellEnd"/>
            <w:r w:rsidRPr="001B5E72">
              <w:rPr>
                <w:sz w:val="17"/>
              </w:rPr>
              <w:t>, estados visibles, diálogos y navegación.</w:t>
            </w:r>
          </w:p>
        </w:tc>
      </w:tr>
      <w:tr w:rsidR="003A0E71" w:rsidRPr="001B5E72" w14:paraId="3629C267" w14:textId="77777777">
        <w:trPr>
          <w:jc w:val="center"/>
        </w:trPr>
        <w:tc>
          <w:tcPr>
            <w:tcW w:w="1701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0C3FA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Estado / lógica</w:t>
            </w:r>
          </w:p>
        </w:tc>
        <w:tc>
          <w:tcPr>
            <w:tcW w:w="3969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B1C1F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CompromisosViewModel</w:t>
            </w:r>
            <w:proofErr w:type="spellEnd"/>
            <w:r w:rsidRPr="001B5E72">
              <w:rPr>
                <w:sz w:val="17"/>
              </w:rPr>
              <w:t xml:space="preserve">, </w:t>
            </w:r>
            <w:proofErr w:type="spellStart"/>
            <w:r w:rsidRPr="001B5E72">
              <w:rPr>
                <w:sz w:val="17"/>
              </w:rPr>
              <w:t>ReportesViewModel</w:t>
            </w:r>
            <w:proofErr w:type="spellEnd"/>
            <w:r w:rsidRPr="001B5E72">
              <w:rPr>
                <w:sz w:val="17"/>
              </w:rPr>
              <w:t xml:space="preserve">, </w:t>
            </w:r>
            <w:proofErr w:type="spellStart"/>
            <w:r w:rsidRPr="001B5E72">
              <w:rPr>
                <w:sz w:val="17"/>
              </w:rPr>
              <w:t>SesionViewModel</w:t>
            </w:r>
            <w:proofErr w:type="spellEnd"/>
            <w:r w:rsidRPr="001B5E72">
              <w:rPr>
                <w:sz w:val="17"/>
              </w:rPr>
              <w:t xml:space="preserve">, </w:t>
            </w:r>
            <w:proofErr w:type="spellStart"/>
            <w:r w:rsidRPr="001B5E72">
              <w:rPr>
                <w:sz w:val="17"/>
              </w:rPr>
              <w:t>CotizacionesViewModel</w:t>
            </w:r>
            <w:proofErr w:type="spellEnd"/>
          </w:p>
        </w:tc>
        <w:tc>
          <w:tcPr>
            <w:tcW w:w="3969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A3FC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Sesión, flujos de estado, reglas y coordinación de operaciones.</w:t>
            </w:r>
          </w:p>
        </w:tc>
      </w:tr>
      <w:tr w:rsidR="003A0E71" w:rsidRPr="001B5E72" w14:paraId="7C077FD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3CAAC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Dominio y utilidades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31FD8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model</w:t>
            </w:r>
            <w:proofErr w:type="spellEnd"/>
            <w:r w:rsidRPr="001B5E72">
              <w:rPr>
                <w:sz w:val="17"/>
              </w:rPr>
              <w:t xml:space="preserve">/, </w:t>
            </w:r>
            <w:proofErr w:type="spellStart"/>
            <w:r w:rsidRPr="001B5E72">
              <w:rPr>
                <w:sz w:val="17"/>
              </w:rPr>
              <w:t>util</w:t>
            </w:r>
            <w:proofErr w:type="spellEnd"/>
            <w:r w:rsidRPr="001B5E72">
              <w:rPr>
                <w:sz w:val="17"/>
              </w:rPr>
              <w:t>/</w:t>
            </w:r>
            <w:proofErr w:type="spellStart"/>
            <w:r w:rsidRPr="001B5E72">
              <w:rPr>
                <w:sz w:val="17"/>
              </w:rPr>
              <w:t>ReglasPago.kt</w:t>
            </w:r>
            <w:proofErr w:type="spellEnd"/>
            <w:r w:rsidRPr="001B5E72">
              <w:rPr>
                <w:sz w:val="17"/>
              </w:rPr>
              <w:t xml:space="preserve">, </w:t>
            </w:r>
            <w:proofErr w:type="spellStart"/>
            <w:r w:rsidRPr="001B5E72">
              <w:rPr>
                <w:sz w:val="17"/>
              </w:rPr>
              <w:t>ResumenCompromisos.kt</w:t>
            </w:r>
            <w:proofErr w:type="spellEnd"/>
            <w:r w:rsidRPr="001B5E72">
              <w:rPr>
                <w:sz w:val="17"/>
              </w:rPr>
              <w:t xml:space="preserve">, </w:t>
            </w:r>
            <w:proofErr w:type="spellStart"/>
            <w:r w:rsidRPr="001B5E72">
              <w:rPr>
                <w:sz w:val="17"/>
              </w:rPr>
              <w:t>IndicadorCumplimiento.kt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988F2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Modelos, fechas, cálculos y evaluación de cumplimiento.</w:t>
            </w:r>
          </w:p>
        </w:tc>
      </w:tr>
      <w:tr w:rsidR="003A0E71" w:rsidRPr="001B5E72" w14:paraId="7C8D1C00" w14:textId="77777777">
        <w:trPr>
          <w:jc w:val="center"/>
        </w:trPr>
        <w:tc>
          <w:tcPr>
            <w:tcW w:w="1701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FF900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Datos</w:t>
            </w:r>
          </w:p>
        </w:tc>
        <w:tc>
          <w:tcPr>
            <w:tcW w:w="3969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0611F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data/</w:t>
            </w:r>
            <w:proofErr w:type="spellStart"/>
            <w:r w:rsidRPr="001B5E72">
              <w:rPr>
                <w:sz w:val="17"/>
              </w:rPr>
              <w:t>PagoFlexDbHelper.kt</w:t>
            </w:r>
            <w:proofErr w:type="spellEnd"/>
          </w:p>
        </w:tc>
        <w:tc>
          <w:tcPr>
            <w:tcW w:w="3969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AC038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Tablas, consultas parametrizadas, datos de prueba y transacciones SQLite.</w:t>
            </w:r>
          </w:p>
        </w:tc>
      </w:tr>
      <w:tr w:rsidR="003A0E71" w:rsidRPr="001B5E72" w14:paraId="1D2390E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82F46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Integración externa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A7343" w14:textId="4A28753C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CotizacionesViewModel.kt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49B38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Consultar tasas informativas y responder ante errores de conectividad.</w:t>
            </w:r>
          </w:p>
        </w:tc>
      </w:tr>
    </w:tbl>
    <w:p w14:paraId="787BCF47" w14:textId="77777777" w:rsidR="003A0E71" w:rsidRPr="001B5E72" w:rsidRDefault="003A0E71">
      <w:pPr>
        <w:spacing w:after="0"/>
      </w:pPr>
    </w:p>
    <w:p w14:paraId="40CBC84F" w14:textId="77777777" w:rsidR="003A0E71" w:rsidRPr="001B5E72" w:rsidRDefault="00000000">
      <w:pPr>
        <w:pStyle w:val="Ttulo2"/>
      </w:pPr>
      <w:r w:rsidRPr="001B5E72">
        <w:t>2.1 Modelo de datos local</w:t>
      </w:r>
    </w:p>
    <w:p w14:paraId="64D05FBB" w14:textId="77777777" w:rsidR="003A0E71" w:rsidRPr="001B5E72" w:rsidRDefault="00000000">
      <w:r w:rsidRPr="001B5E72">
        <w:t xml:space="preserve">La base SQLite se denomina </w:t>
      </w:r>
      <w:proofErr w:type="spellStart"/>
      <w:r w:rsidRPr="001B5E72">
        <w:t>pagoflex.db</w:t>
      </w:r>
      <w:proofErr w:type="spellEnd"/>
      <w:r w:rsidRPr="001B5E72">
        <w:t xml:space="preserve"> (esquema versión 4). Sus siete tablas principales y sus relaciones permiten consultar el historial por cuenta y conservar el estado de gestión de reportes y reconocimientos.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3A0E71" w:rsidRPr="001B5E72" w14:paraId="41C6D9C3" w14:textId="77777777">
        <w:trPr>
          <w:tblHeader/>
          <w:jc w:val="center"/>
        </w:trPr>
        <w:tc>
          <w:tcPr>
            <w:tcW w:w="2551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56B64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w="7087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5A8BA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Identificador y relación principal</w:t>
            </w:r>
          </w:p>
        </w:tc>
      </w:tr>
      <w:tr w:rsidR="003A0E71" w:rsidRPr="001B5E72" w14:paraId="6B95DC8C" w14:textId="77777777">
        <w:trPr>
          <w:jc w:val="center"/>
        </w:trPr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CE0CA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roles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85BC9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id_rol</w:t>
            </w:r>
            <w:proofErr w:type="spellEnd"/>
            <w:r w:rsidRPr="001B5E72">
              <w:rPr>
                <w:sz w:val="17"/>
              </w:rPr>
              <w:t>; catálogo de los dos roles disponibles.</w:t>
            </w:r>
          </w:p>
        </w:tc>
      </w:tr>
      <w:tr w:rsidR="003A0E71" w:rsidRPr="001B5E72" w14:paraId="7E462DC5" w14:textId="77777777">
        <w:trPr>
          <w:jc w:val="center"/>
        </w:trPr>
        <w:tc>
          <w:tcPr>
            <w:tcW w:w="2551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ADF57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usuarios</w:t>
            </w:r>
          </w:p>
        </w:tc>
        <w:tc>
          <w:tcPr>
            <w:tcW w:w="7087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70FCE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id_usuario</w:t>
            </w:r>
            <w:proofErr w:type="spellEnd"/>
            <w:r w:rsidRPr="001B5E72">
              <w:rPr>
                <w:sz w:val="17"/>
              </w:rPr>
              <w:t>; referencia al rol; almacena fotografía de perfil como BLOB.</w:t>
            </w:r>
          </w:p>
        </w:tc>
      </w:tr>
      <w:tr w:rsidR="003A0E71" w:rsidRPr="001B5E72" w14:paraId="17A0C367" w14:textId="77777777">
        <w:trPr>
          <w:jc w:val="center"/>
        </w:trPr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6D9E5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empresas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225CB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codigo_empresa</w:t>
            </w:r>
            <w:proofErr w:type="spellEnd"/>
            <w:r w:rsidRPr="001B5E72">
              <w:rPr>
                <w:sz w:val="17"/>
              </w:rPr>
              <w:t>; incluye razón social, nombre de fantasía y recargo.</w:t>
            </w:r>
          </w:p>
        </w:tc>
      </w:tr>
      <w:tr w:rsidR="003A0E71" w:rsidRPr="001B5E72" w14:paraId="14918F35" w14:textId="77777777">
        <w:trPr>
          <w:jc w:val="center"/>
        </w:trPr>
        <w:tc>
          <w:tcPr>
            <w:tcW w:w="2551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4F40D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compromisos</w:t>
            </w:r>
          </w:p>
        </w:tc>
        <w:tc>
          <w:tcPr>
            <w:tcW w:w="7087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361F3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folio; referencia al usuario y a la empresa, con importe, vencimiento y estado.</w:t>
            </w:r>
          </w:p>
        </w:tc>
      </w:tr>
      <w:tr w:rsidR="003A0E71" w:rsidRPr="001B5E72" w14:paraId="29A9174F" w14:textId="77777777">
        <w:trPr>
          <w:jc w:val="center"/>
        </w:trPr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F9542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pagos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DD6DF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numero_comprobante</w:t>
            </w:r>
            <w:proofErr w:type="spellEnd"/>
            <w:r w:rsidRPr="001B5E72">
              <w:rPr>
                <w:sz w:val="17"/>
              </w:rPr>
              <w:t>; referencia al folio, usuario y empresa; fecha, importe y puntualidad.</w:t>
            </w:r>
          </w:p>
        </w:tc>
      </w:tr>
      <w:tr w:rsidR="003A0E71" w:rsidRPr="001B5E72" w14:paraId="46C42137" w14:textId="77777777">
        <w:trPr>
          <w:jc w:val="center"/>
        </w:trPr>
        <w:tc>
          <w:tcPr>
            <w:tcW w:w="2551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FF38F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reportes</w:t>
            </w:r>
          </w:p>
        </w:tc>
        <w:tc>
          <w:tcPr>
            <w:tcW w:w="7087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FA830" w14:textId="77777777" w:rsidR="003A0E71" w:rsidRPr="001B5E72" w:rsidRDefault="00000000">
            <w:pPr>
              <w:spacing w:after="0"/>
            </w:pPr>
            <w:proofErr w:type="spellStart"/>
            <w:r w:rsidRPr="001B5E72">
              <w:rPr>
                <w:sz w:val="17"/>
              </w:rPr>
              <w:t>id_reporte</w:t>
            </w:r>
            <w:proofErr w:type="spellEnd"/>
            <w:r w:rsidRPr="001B5E72">
              <w:rPr>
                <w:sz w:val="17"/>
              </w:rPr>
              <w:t>; referencia al compromiso, usuario y agente; motivo, estado y respuesta.</w:t>
            </w:r>
          </w:p>
        </w:tc>
      </w:tr>
      <w:tr w:rsidR="003A0E71" w:rsidRPr="001B5E72" w14:paraId="040859C8" w14:textId="77777777">
        <w:trPr>
          <w:jc w:val="center"/>
        </w:trPr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B0468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reconocimientos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50A49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clave compuesta (</w:t>
            </w:r>
            <w:proofErr w:type="spellStart"/>
            <w:r w:rsidRPr="001B5E72">
              <w:rPr>
                <w:sz w:val="17"/>
              </w:rPr>
              <w:t>id_usuario</w:t>
            </w:r>
            <w:proofErr w:type="spellEnd"/>
            <w:r w:rsidRPr="001B5E72">
              <w:rPr>
                <w:sz w:val="17"/>
              </w:rPr>
              <w:t xml:space="preserve">, </w:t>
            </w:r>
            <w:proofErr w:type="spellStart"/>
            <w:r w:rsidRPr="001B5E72">
              <w:rPr>
                <w:sz w:val="17"/>
              </w:rPr>
              <w:t>codigo</w:t>
            </w:r>
            <w:proofErr w:type="spellEnd"/>
            <w:r w:rsidRPr="001B5E72">
              <w:rPr>
                <w:sz w:val="17"/>
              </w:rPr>
              <w:t>); fecha de obtención del logro ejemplar.</w:t>
            </w:r>
          </w:p>
        </w:tc>
      </w:tr>
    </w:tbl>
    <w:p w14:paraId="6CE5871C" w14:textId="77777777" w:rsidR="003A0E71" w:rsidRPr="001B5E72" w:rsidRDefault="00000000">
      <w:r w:rsidRPr="001B5E72">
        <w:br w:type="page"/>
      </w:r>
    </w:p>
    <w:p w14:paraId="7C9BDFD7" w14:textId="77777777" w:rsidR="007B18B9" w:rsidRDefault="007B18B9">
      <w:pPr>
        <w:pStyle w:val="Ttulo1"/>
      </w:pPr>
    </w:p>
    <w:p w14:paraId="3C7D264C" w14:textId="511DBB00" w:rsidR="003A0E71" w:rsidRPr="001B5E72" w:rsidRDefault="00000000">
      <w:pPr>
        <w:pStyle w:val="Ttulo1"/>
      </w:pPr>
      <w:r w:rsidRPr="001B5E72">
        <w:t>3. Reglas de negocio y experiencia</w:t>
      </w:r>
    </w:p>
    <w:p w14:paraId="28330575" w14:textId="77777777" w:rsidR="003A0E71" w:rsidRPr="001B5E72" w:rsidRDefault="00000000">
      <w:pPr>
        <w:pStyle w:val="Ttulo2"/>
      </w:pPr>
      <w:r w:rsidRPr="001B5E72">
        <w:t>3.1 Compromisos y pagos simulados</w:t>
      </w:r>
    </w:p>
    <w:p w14:paraId="486516CC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Estados: </w:t>
      </w:r>
      <w:r w:rsidRPr="001B5E72">
        <w:t>pendiente, vencido, pagado, en revisión y anulado.</w:t>
      </w:r>
    </w:p>
    <w:p w14:paraId="692859E9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Reglas de bloqueo: </w:t>
      </w:r>
      <w:r w:rsidRPr="001B5E72">
        <w:t>no puede pagarse un compromiso pagado, anulado o en revisión; también se impide saltar otro compromiso anterior pendiente de la misma empresa.</w:t>
      </w:r>
    </w:p>
    <w:p w14:paraId="4C0E3CA0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Atrasos: </w:t>
      </w:r>
      <w:r w:rsidRPr="001B5E72">
        <w:t>se calculan respecto de la fecha actual del dispositivo y se considera el recargo configurado para la empresa cuando corresponde.</w:t>
      </w:r>
    </w:p>
    <w:p w14:paraId="59389F10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Pago atómico: </w:t>
      </w:r>
      <w:r w:rsidRPr="001B5E72">
        <w:t>se inserta el comprobante y se actualiza el compromiso dentro de una transacción SQLite. La actualización exige folio, usuario, empresa y estado elegible; si falla, no se confirma la transacción.</w:t>
      </w:r>
    </w:p>
    <w:p w14:paraId="6C3B19F4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Resumen: </w:t>
      </w:r>
      <w:r w:rsidRPr="001B5E72">
        <w:t>total pendiente con vencimiento en el mes actual, próximo vencimiento no pasado y cantidad de compromisos vencidos; se excluyen los ya pagados y anulados.</w:t>
      </w:r>
    </w:p>
    <w:p w14:paraId="325F8A1F" w14:textId="77777777" w:rsidR="003A0E71" w:rsidRPr="001B5E72" w:rsidRDefault="00000000">
      <w:pPr>
        <w:pStyle w:val="Ttulo2"/>
      </w:pPr>
      <w:r w:rsidRPr="001B5E72">
        <w:t>3.2 Historial, indicador y reconocimientos</w:t>
      </w:r>
    </w:p>
    <w:p w14:paraId="16429112" w14:textId="6A91C307" w:rsidR="003A0E71" w:rsidRPr="001B5E72" w:rsidRDefault="00000000">
      <w:r w:rsidRPr="001B5E72">
        <w:t xml:space="preserve">El historial muestra pagos registrados y admite filtros por empresa y período. El indicador evalúa compromisos con vencimiento en los últimos 12 meses y solo presenta porcentaje cuando existen al menos tres compromisos evaluables. Distingue categorías </w:t>
      </w:r>
      <w:r w:rsidR="007B18B9">
        <w:t>“</w:t>
      </w:r>
      <w:r w:rsidRPr="001B5E72">
        <w:t>En camino</w:t>
      </w:r>
      <w:r w:rsidR="007B18B9">
        <w:t>”</w:t>
      </w:r>
      <w:r w:rsidRPr="001B5E72">
        <w:t xml:space="preserve">, </w:t>
      </w:r>
      <w:r w:rsidR="007B18B9">
        <w:t>“</w:t>
      </w:r>
      <w:r w:rsidRPr="001B5E72">
        <w:t>Al día</w:t>
      </w:r>
      <w:r w:rsidR="007B18B9">
        <w:t>”</w:t>
      </w:r>
      <w:r w:rsidRPr="001B5E72">
        <w:t xml:space="preserve"> y </w:t>
      </w:r>
      <w:r w:rsidR="007B18B9">
        <w:t>“</w:t>
      </w:r>
      <w:r w:rsidRPr="001B5E72">
        <w:t>Ejemplar</w:t>
      </w:r>
      <w:r w:rsidR="007B18B9">
        <w:t>”</w:t>
      </w:r>
      <w:r w:rsidRPr="001B5E72">
        <w:t>.</w:t>
      </w:r>
    </w:p>
    <w:p w14:paraId="12C40FCC" w14:textId="77777777" w:rsidR="003A0E71" w:rsidRPr="001B5E72" w:rsidRDefault="00000000">
      <w:r w:rsidRPr="001B5E72">
        <w:t>Se implementaron cuatro reconocimientos: primer pago puntual, tres pagos puntuales, cinco pagos puntuales y cumplimiento ejemplar. Este último requiere un indicador de al menos 95 % con un mínimo de tres compromisos evaluables. La fecha del logro ejemplar se registra por usuario y permanece guardada en SQLite.</w:t>
      </w:r>
    </w:p>
    <w:p w14:paraId="069EB7B1" w14:textId="77777777" w:rsidR="003A0E71" w:rsidRPr="001B5E72" w:rsidRDefault="00000000">
      <w:pPr>
        <w:pStyle w:val="Ttulo2"/>
      </w:pPr>
      <w:r w:rsidRPr="001B5E72">
        <w:t>3.3 Reportes y gestión del agente</w:t>
      </w:r>
    </w:p>
    <w:p w14:paraId="11F9A5B8" w14:textId="2CBEE941" w:rsidR="003A0E71" w:rsidRPr="001B5E72" w:rsidRDefault="00000000">
      <w:r w:rsidRPr="001B5E72">
        <w:t xml:space="preserve">El usuario final informa problemas relacionados con un compromiso, por ejemplo </w:t>
      </w:r>
      <w:r w:rsidR="007B18B9">
        <w:t>“</w:t>
      </w:r>
      <w:r w:rsidRPr="001B5E72">
        <w:t>Ya pagué por otro medio</w:t>
      </w:r>
      <w:r w:rsidR="007B18B9">
        <w:t>”</w:t>
      </w:r>
      <w:r w:rsidRPr="001B5E72">
        <w:t xml:space="preserve"> o </w:t>
      </w:r>
      <w:r w:rsidR="007B18B9">
        <w:t>“</w:t>
      </w:r>
      <w:r w:rsidRPr="001B5E72">
        <w:t>El monto no corresponde</w:t>
      </w:r>
      <w:r w:rsidR="007B18B9">
        <w:t>”</w:t>
      </w:r>
      <w:r w:rsidRPr="001B5E72">
        <w:t>. Un reporte activo coloca el compromiso en revisión y evita su pago hasta la resolución correspondiente. El agente puede tomar el caso, ingresar una respuesta y resolverlo. El usuario puede consultar su seguimiento desde el detalle.</w:t>
      </w:r>
    </w:p>
    <w:p w14:paraId="315741F6" w14:textId="77777777" w:rsidR="003A0E71" w:rsidRPr="001B5E72" w:rsidRDefault="00000000">
      <w:pPr>
        <w:pStyle w:val="Ttulo2"/>
      </w:pPr>
      <w:r w:rsidRPr="001B5E72">
        <w:t>3.4 Cotizaciones informativas</w:t>
      </w:r>
    </w:p>
    <w:p w14:paraId="7B8A4418" w14:textId="5661C849" w:rsidR="003A0E71" w:rsidRPr="001B5E72" w:rsidRDefault="00000000">
      <w:r w:rsidRPr="001B5E72">
        <w:t>La pantalla permite visualizar importes en CLP, EUR y USD</w:t>
      </w:r>
      <w:r w:rsidR="007B18B9">
        <w:t xml:space="preserve"> para la cual</w:t>
      </w:r>
      <w:r w:rsidRPr="001B5E72">
        <w:t xml:space="preserve"> </w:t>
      </w:r>
      <w:r w:rsidR="007B18B9">
        <w:t>s</w:t>
      </w:r>
      <w:r w:rsidRPr="001B5E72">
        <w:t xml:space="preserve">e consulta la </w:t>
      </w:r>
      <w:r w:rsidR="007B18B9">
        <w:t>“</w:t>
      </w:r>
      <w:proofErr w:type="spellStart"/>
      <w:r w:rsidRPr="001B5E72">
        <w:t>Currency</w:t>
      </w:r>
      <w:proofErr w:type="spellEnd"/>
      <w:r w:rsidRPr="001B5E72">
        <w:t xml:space="preserve"> API</w:t>
      </w:r>
      <w:r w:rsidR="007B18B9">
        <w:t>”</w:t>
      </w:r>
      <w:r w:rsidRPr="001B5E72">
        <w:t xml:space="preserve"> pública de fawazahmed0</w:t>
      </w:r>
      <w:r w:rsidR="007B18B9">
        <w:t xml:space="preserve">. </w:t>
      </w:r>
      <w:r w:rsidRPr="001B5E72">
        <w:t>Las tasas recibidas EUR o USD. Las conversiones son aproximadas: la deuda y los pagos permanecen en CLP. Si no se obtiene una tasa válida, se informa el error y no se habilitan conversiones con valores inválidos.</w:t>
      </w:r>
    </w:p>
    <w:p w14:paraId="026342BC" w14:textId="77777777" w:rsidR="003A0E71" w:rsidRPr="001B5E72" w:rsidRDefault="00000000">
      <w:r w:rsidRPr="001B5E72">
        <w:br w:type="page"/>
      </w:r>
    </w:p>
    <w:p w14:paraId="3953A0A0" w14:textId="77777777" w:rsidR="007B18B9" w:rsidRDefault="007B18B9">
      <w:pPr>
        <w:pStyle w:val="Ttulo1"/>
      </w:pPr>
    </w:p>
    <w:p w14:paraId="3503DD12" w14:textId="004D877E" w:rsidR="003A0E71" w:rsidRPr="001B5E72" w:rsidRDefault="00000000">
      <w:pPr>
        <w:pStyle w:val="Ttulo1"/>
      </w:pPr>
      <w:r w:rsidRPr="001B5E72">
        <w:t>4. Seguridad, pruebas y limitaciones</w:t>
      </w:r>
    </w:p>
    <w:p w14:paraId="7044CCE9" w14:textId="77777777" w:rsidR="003A0E71" w:rsidRPr="001B5E72" w:rsidRDefault="00000000">
      <w:pPr>
        <w:pStyle w:val="Ttulo2"/>
      </w:pPr>
      <w:r w:rsidRPr="001B5E72">
        <w:t>4.1 Controles incorporados</w:t>
      </w:r>
    </w:p>
    <w:p w14:paraId="1A760188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Separación por cuenta: </w:t>
      </w:r>
      <w:r w:rsidRPr="001B5E72">
        <w:t xml:space="preserve">las consultas de pagos y comprobantes incluyen el id del usuario. El </w:t>
      </w:r>
      <w:proofErr w:type="spellStart"/>
      <w:r w:rsidRPr="001B5E72">
        <w:t>ViewModel</w:t>
      </w:r>
      <w:proofErr w:type="spellEnd"/>
      <w:r w:rsidRPr="001B5E72">
        <w:t xml:space="preserve"> verifica la sesión antes de iniciar el pago.</w:t>
      </w:r>
    </w:p>
    <w:p w14:paraId="3C256DB0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Persistencia controlada: </w:t>
      </w:r>
      <w:r w:rsidRPr="001B5E72">
        <w:t>consultas SQL parametrizadas y transacciones para registrar pagos sin duplicados confirmados.</w:t>
      </w:r>
    </w:p>
    <w:p w14:paraId="02EDC405" w14:textId="77777777" w:rsidR="003A0E71" w:rsidRPr="001B5E72" w:rsidRDefault="00000000">
      <w:pPr>
        <w:pStyle w:val="Listaconvietas"/>
      </w:pPr>
      <w:r w:rsidRPr="001B5E72">
        <w:rPr>
          <w:b/>
        </w:rPr>
        <w:t xml:space="preserve">Privacidad visual: </w:t>
      </w:r>
      <w:r w:rsidRPr="001B5E72">
        <w:t>RUT parcialmente oculto en pantallas y comprobantes; se usan datos ficticios.</w:t>
      </w:r>
    </w:p>
    <w:p w14:paraId="007579AA" w14:textId="0CECBEF8" w:rsidR="003A0E71" w:rsidRPr="001B5E72" w:rsidRDefault="00000000">
      <w:pPr>
        <w:pStyle w:val="Listaconvietas"/>
      </w:pPr>
      <w:r w:rsidRPr="001B5E72">
        <w:rPr>
          <w:b/>
        </w:rPr>
        <w:t xml:space="preserve">Contraseñas: </w:t>
      </w:r>
      <w:r w:rsidRPr="001B5E72">
        <w:t>se guarda un resumen SHA-256 derivado del correo y la contraseña</w:t>
      </w:r>
      <w:r w:rsidR="007B18B9">
        <w:t>.</w:t>
      </w:r>
    </w:p>
    <w:p w14:paraId="35C9309F" w14:textId="77777777" w:rsidR="003A0E71" w:rsidRPr="001B5E72" w:rsidRDefault="00000000">
      <w:pPr>
        <w:pStyle w:val="Ttulo2"/>
      </w:pPr>
      <w:r w:rsidRPr="001B5E72">
        <w:t>4.2 Verificación realizada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3A0E71" w:rsidRPr="001B5E72" w14:paraId="0841B9EC" w14:textId="77777777">
        <w:trPr>
          <w:tblHeader/>
          <w:jc w:val="center"/>
        </w:trPr>
        <w:tc>
          <w:tcPr>
            <w:tcW w:w="2835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B10A5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Tipo de evidencia</w:t>
            </w:r>
          </w:p>
        </w:tc>
        <w:tc>
          <w:tcPr>
            <w:tcW w:w="6803" w:type="dxa"/>
            <w:shd w:val="clear" w:color="auto" w:fill="114F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A3074" w14:textId="77777777" w:rsidR="003A0E71" w:rsidRPr="001B5E72" w:rsidRDefault="00000000">
            <w:pPr>
              <w:spacing w:after="0"/>
            </w:pPr>
            <w:r w:rsidRPr="001B5E72">
              <w:rPr>
                <w:b/>
                <w:color w:val="FFFFFF"/>
                <w:sz w:val="17"/>
              </w:rPr>
              <w:t>Resultado reportado</w:t>
            </w:r>
          </w:p>
        </w:tc>
      </w:tr>
      <w:tr w:rsidR="003A0E71" w:rsidRPr="001B5E72" w14:paraId="7595F1A6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64CCD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Gradle / pruebas unitarias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D4BE9" w14:textId="6746D5A2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:</w:t>
            </w:r>
            <w:proofErr w:type="spellStart"/>
            <w:proofErr w:type="gramStart"/>
            <w:r w:rsidRPr="001B5E72">
              <w:rPr>
                <w:sz w:val="17"/>
              </w:rPr>
              <w:t>app:testDebugUnitTest</w:t>
            </w:r>
            <w:proofErr w:type="spellEnd"/>
            <w:proofErr w:type="gramEnd"/>
            <w:r w:rsidRPr="001B5E72">
              <w:rPr>
                <w:sz w:val="17"/>
              </w:rPr>
              <w:t xml:space="preserve"> — BUILD SUCCESSFUL</w:t>
            </w:r>
          </w:p>
        </w:tc>
      </w:tr>
      <w:tr w:rsidR="003A0E71" w:rsidRPr="001B5E72" w14:paraId="73159CC3" w14:textId="77777777">
        <w:trPr>
          <w:jc w:val="center"/>
        </w:trPr>
        <w:tc>
          <w:tcPr>
            <w:tcW w:w="2835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45C80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Gradle / instrumentadas</w:t>
            </w:r>
          </w:p>
        </w:tc>
        <w:tc>
          <w:tcPr>
            <w:tcW w:w="6803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D6341" w14:textId="308B9D25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:</w:t>
            </w:r>
            <w:proofErr w:type="spellStart"/>
            <w:proofErr w:type="gramStart"/>
            <w:r w:rsidRPr="001B5E72">
              <w:rPr>
                <w:sz w:val="17"/>
              </w:rPr>
              <w:t>app:connectedDebugAndroidTest</w:t>
            </w:r>
            <w:proofErr w:type="spellEnd"/>
            <w:proofErr w:type="gramEnd"/>
            <w:r w:rsidRPr="001B5E72">
              <w:rPr>
                <w:sz w:val="17"/>
              </w:rPr>
              <w:t xml:space="preserve"> — BUILD SUCCESSFUL en </w:t>
            </w:r>
            <w:proofErr w:type="gramStart"/>
            <w:r w:rsidRPr="001B5E72">
              <w:rPr>
                <w:sz w:val="17"/>
              </w:rPr>
              <w:t>Pixel</w:t>
            </w:r>
            <w:proofErr w:type="gramEnd"/>
            <w:r w:rsidRPr="001B5E72">
              <w:rPr>
                <w:sz w:val="17"/>
              </w:rPr>
              <w:t xml:space="preserve"> 9</w:t>
            </w:r>
            <w:r w:rsidR="007B18B9">
              <w:rPr>
                <w:sz w:val="17"/>
              </w:rPr>
              <w:t>ª.</w:t>
            </w:r>
          </w:p>
        </w:tc>
      </w:tr>
      <w:tr w:rsidR="003A0E71" w:rsidRPr="001B5E72" w14:paraId="3C725A77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BD11D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Usuario final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20B24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Ocho comprobaciones funcionales completadas satisfactoriamente.</w:t>
            </w:r>
          </w:p>
        </w:tc>
      </w:tr>
      <w:tr w:rsidR="003A0E71" w:rsidRPr="001B5E72" w14:paraId="3A0C6672" w14:textId="77777777">
        <w:trPr>
          <w:jc w:val="center"/>
        </w:trPr>
        <w:tc>
          <w:tcPr>
            <w:tcW w:w="2835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560C6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Agente</w:t>
            </w:r>
          </w:p>
        </w:tc>
        <w:tc>
          <w:tcPr>
            <w:tcW w:w="6803" w:type="dxa"/>
            <w:shd w:val="clear" w:color="auto" w:fill="F2F5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E41BB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Ocho comprobaciones funcionales completadas satisfactoriamente.</w:t>
            </w:r>
          </w:p>
        </w:tc>
      </w:tr>
      <w:tr w:rsidR="003A0E71" w:rsidRPr="001B5E72" w14:paraId="0242FF0C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2F025" w14:textId="77777777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Sin conexión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36EEB" w14:textId="12EC2F9E" w:rsidR="003A0E71" w:rsidRPr="001B5E72" w:rsidRDefault="00000000">
            <w:pPr>
              <w:spacing w:after="0"/>
            </w:pPr>
            <w:r w:rsidRPr="001B5E72">
              <w:rPr>
                <w:sz w:val="17"/>
              </w:rPr>
              <w:t>Ocho comprobaciones: operaciones SQLite disponibles y cotizaciones recuperadas al volver Internet</w:t>
            </w:r>
            <w:r w:rsidR="007B18B9">
              <w:rPr>
                <w:sz w:val="17"/>
              </w:rPr>
              <w:t>.</w:t>
            </w:r>
          </w:p>
        </w:tc>
      </w:tr>
    </w:tbl>
    <w:p w14:paraId="1EFBDB95" w14:textId="361BA307" w:rsidR="003A0E71" w:rsidRDefault="003A0E71"/>
    <w:p w14:paraId="00308073" w14:textId="77777777" w:rsidR="00A811B5" w:rsidRDefault="00A811B5"/>
    <w:p w14:paraId="5A022DED" w14:textId="77777777" w:rsidR="00A811B5" w:rsidRDefault="00A811B5"/>
    <w:p w14:paraId="03ACE4CB" w14:textId="77777777" w:rsidR="00A811B5" w:rsidRDefault="00A811B5"/>
    <w:p w14:paraId="04F95189" w14:textId="77777777" w:rsidR="00A811B5" w:rsidRDefault="00A811B5"/>
    <w:p w14:paraId="4D69BFB2" w14:textId="77777777" w:rsidR="00A811B5" w:rsidRDefault="00A811B5"/>
    <w:p w14:paraId="313BCD9B" w14:textId="77777777" w:rsidR="00A811B5" w:rsidRDefault="00A811B5"/>
    <w:p w14:paraId="11C94F9F" w14:textId="77777777" w:rsidR="00A811B5" w:rsidRDefault="00A811B5"/>
    <w:p w14:paraId="6A204F55" w14:textId="77777777" w:rsidR="00A811B5" w:rsidRDefault="00A811B5"/>
    <w:p w14:paraId="5FAADB08" w14:textId="77777777" w:rsidR="00A811B5" w:rsidRDefault="00A811B5"/>
    <w:p w14:paraId="2AA742A6" w14:textId="77777777" w:rsidR="00A811B5" w:rsidRDefault="00A811B5"/>
    <w:p w14:paraId="43793A47" w14:textId="77777777" w:rsidR="00A811B5" w:rsidRDefault="00A811B5"/>
    <w:p w14:paraId="2C2E2EB4" w14:textId="77777777" w:rsidR="00A811B5" w:rsidRDefault="00A811B5"/>
    <w:p w14:paraId="7788629C" w14:textId="77777777" w:rsidR="00A811B5" w:rsidRDefault="00A811B5"/>
    <w:p w14:paraId="03C9E670" w14:textId="77777777" w:rsidR="00A811B5" w:rsidRDefault="00A811B5"/>
    <w:p w14:paraId="7599350B" w14:textId="77777777" w:rsidR="00A811B5" w:rsidRDefault="00A811B5"/>
    <w:p w14:paraId="14C78BB2" w14:textId="77777777" w:rsidR="00A811B5" w:rsidRDefault="00A811B5"/>
    <w:p w14:paraId="2A3E3EFB" w14:textId="77777777" w:rsidR="00A811B5" w:rsidRDefault="00A811B5"/>
    <w:p w14:paraId="59449146" w14:textId="77777777" w:rsidR="00A811B5" w:rsidRDefault="00A811B5"/>
    <w:p w14:paraId="51FF12F7" w14:textId="77777777" w:rsidR="00A811B5" w:rsidRPr="001B5E72" w:rsidRDefault="00A811B5"/>
    <w:p w14:paraId="3F239E66" w14:textId="0F854A38" w:rsidR="003A0E71" w:rsidRPr="001B5E72" w:rsidRDefault="00000000">
      <w:pPr>
        <w:pStyle w:val="Ttulo1"/>
      </w:pPr>
      <w:r w:rsidRPr="001B5E72">
        <w:lastRenderedPageBreak/>
        <w:t>5. Evidencias</w:t>
      </w:r>
    </w:p>
    <w:p w14:paraId="54807C88" w14:textId="46C215C6" w:rsidR="003A0E71" w:rsidRPr="001B5E72" w:rsidRDefault="00000000">
      <w:r w:rsidRPr="001B5E72">
        <w:t xml:space="preserve">Las siguientes capturas fueron obtenidas en el entorno de demostración. Las imágenes se adjuntan también como archivos independientes en </w:t>
      </w:r>
      <w:proofErr w:type="spellStart"/>
      <w:r w:rsidRPr="001B5E72">
        <w:t>docs</w:t>
      </w:r>
      <w:proofErr w:type="spellEnd"/>
      <w:r w:rsidRPr="001B5E72">
        <w:t>/evidencias/.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3"/>
        <w:gridCol w:w="3163"/>
        <w:gridCol w:w="3163"/>
      </w:tblGrid>
      <w:tr w:rsidR="003A0E71" w:rsidRPr="001B5E72" w14:paraId="311F9EE1" w14:textId="77777777"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60364033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2890F4E1" wp14:editId="5C0F2DDC">
                  <wp:extent cx="1882800" cy="37609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inicio_usuari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76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9D9B8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1. Compromisos y resumen mensual</w:t>
            </w:r>
          </w:p>
        </w:tc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58321E9D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4D5F2DC2" wp14:editId="576B4756">
                  <wp:extent cx="1882800" cy="370590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detalle_compromis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70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D64C6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2. Detalle y reglas de pago</w:t>
            </w:r>
          </w:p>
        </w:tc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039FBD73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499CA29B" wp14:editId="1916F186">
                  <wp:extent cx="1882800" cy="37106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comproban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71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39D20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3. Comprobante del pago simulado</w:t>
            </w:r>
          </w:p>
        </w:tc>
      </w:tr>
    </w:tbl>
    <w:p w14:paraId="30155A0D" w14:textId="333A097A" w:rsidR="003A0E71" w:rsidRPr="001B5E72" w:rsidRDefault="003A0E71"/>
    <w:p w14:paraId="3E2C71C0" w14:textId="77777777" w:rsidR="003A0E71" w:rsidRPr="001B5E72" w:rsidRDefault="00000000">
      <w:pPr>
        <w:pStyle w:val="Ttulo1"/>
      </w:pPr>
      <w:r w:rsidRPr="001B5E72">
        <w:lastRenderedPageBreak/>
        <w:t>5. Evidencias visuales (continuación)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3"/>
        <w:gridCol w:w="3163"/>
        <w:gridCol w:w="3163"/>
      </w:tblGrid>
      <w:tr w:rsidR="003A0E71" w:rsidRPr="001B5E72" w14:paraId="632F5D3D" w14:textId="77777777"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4A14A219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203C53A9" wp14:editId="456233CA">
                  <wp:extent cx="1882800" cy="37332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histori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733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B80A3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4. Historial y cumplimiento</w:t>
            </w:r>
          </w:p>
        </w:tc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2CA2A1BE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6369AB77" wp14:editId="67E3E153">
                  <wp:extent cx="1882800" cy="37197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reconocimiento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71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B629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5. Reconocimientos</w:t>
            </w:r>
          </w:p>
        </w:tc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53102F51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2C4818FA" wp14:editId="64F2F0E8">
                  <wp:extent cx="1882800" cy="378884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perf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78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409F9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6. Perfil del usuario</w:t>
            </w:r>
          </w:p>
        </w:tc>
      </w:tr>
    </w:tbl>
    <w:p w14:paraId="05DA4739" w14:textId="36F42616" w:rsidR="003A0E71" w:rsidRPr="001B5E72" w:rsidRDefault="003A0E71">
      <w:pPr>
        <w:pStyle w:val="Ttulo1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3"/>
        <w:gridCol w:w="3163"/>
        <w:gridCol w:w="3163"/>
      </w:tblGrid>
      <w:tr w:rsidR="003A0E71" w:rsidRPr="001B5E72" w14:paraId="0E9B0AB0" w14:textId="77777777"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21EAFFE5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5710D610" wp14:editId="3BF0FF3A">
                  <wp:extent cx="1882800" cy="364369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reportes_agen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64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7B1C8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7. Bandeja del agente</w:t>
            </w:r>
          </w:p>
        </w:tc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581C2B55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277C1EA0" wp14:editId="5FAFAFB2">
                  <wp:extent cx="1882800" cy="368393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reporte_resuelt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68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74860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8. Seguimiento resuelto</w:t>
            </w:r>
          </w:p>
        </w:tc>
        <w:tc>
          <w:tcPr>
            <w:tcW w:w="3163" w:type="dxa"/>
            <w:tcMar>
              <w:top w:w="20" w:type="dxa"/>
              <w:left w:w="60" w:type="dxa"/>
              <w:bottom w:w="30" w:type="dxa"/>
              <w:right w:w="60" w:type="dxa"/>
            </w:tcMar>
          </w:tcPr>
          <w:p w14:paraId="51606550" w14:textId="77777777" w:rsidR="003A0E71" w:rsidRPr="001B5E72" w:rsidRDefault="00000000">
            <w:pPr>
              <w:spacing w:after="120"/>
              <w:jc w:val="center"/>
            </w:pPr>
            <w:r w:rsidRPr="001B5E72">
              <w:drawing>
                <wp:inline distT="0" distB="0" distL="0" distR="0" wp14:anchorId="71F43C1E" wp14:editId="41B33FC9">
                  <wp:extent cx="1882800" cy="371049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cotizacion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3710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B911D" w14:textId="77777777" w:rsidR="003A0E71" w:rsidRPr="001B5E72" w:rsidRDefault="00000000">
            <w:pPr>
              <w:jc w:val="center"/>
            </w:pPr>
            <w:r w:rsidRPr="001B5E72">
              <w:rPr>
                <w:b/>
                <w:color w:val="114F69"/>
                <w:sz w:val="16"/>
              </w:rPr>
              <w:t>Figura 9. Conversión CLP/EUR/USD</w:t>
            </w:r>
          </w:p>
        </w:tc>
      </w:tr>
    </w:tbl>
    <w:p w14:paraId="4F8B282C" w14:textId="4F65D82F" w:rsidR="003A0E71" w:rsidRDefault="003A0E71"/>
    <w:sectPr w:rsidR="003A0E71" w:rsidSect="00034616">
      <w:headerReference w:type="default" r:id="rId17"/>
      <w:footerReference w:type="default" r:id="rId18"/>
      <w:pgSz w:w="11906" w:h="16838"/>
      <w:pgMar w:top="1020" w:right="1134" w:bottom="964" w:left="1134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EE996" w14:textId="77777777" w:rsidR="00557E5F" w:rsidRPr="001B5E72" w:rsidRDefault="00557E5F">
      <w:pPr>
        <w:spacing w:after="0" w:line="240" w:lineRule="auto"/>
      </w:pPr>
      <w:r w:rsidRPr="001B5E72">
        <w:separator/>
      </w:r>
    </w:p>
  </w:endnote>
  <w:endnote w:type="continuationSeparator" w:id="0">
    <w:p w14:paraId="73DFB3C5" w14:textId="77777777" w:rsidR="00557E5F" w:rsidRPr="001B5E72" w:rsidRDefault="00557E5F">
      <w:pPr>
        <w:spacing w:after="0" w:line="240" w:lineRule="auto"/>
      </w:pPr>
      <w:r w:rsidRPr="001B5E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9CF5" w14:textId="24B86595" w:rsidR="003A0E71" w:rsidRPr="001B5E72" w:rsidRDefault="00000000" w:rsidP="007B18B9">
    <w:pPr>
      <w:pStyle w:val="Piedepgina"/>
    </w:pPr>
    <w:r w:rsidRPr="001B5E72">
      <w:rPr>
        <w:color w:val="586879"/>
        <w:sz w:val="16"/>
      </w:rPr>
      <w:t xml:space="preserve"> </w:t>
    </w:r>
    <w:r w:rsidRPr="001B5E72">
      <w:fldChar w:fldCharType="begin"/>
    </w:r>
    <w:r w:rsidRPr="001B5E72">
      <w:instrText>PAGE</w:instrText>
    </w:r>
    <w:r w:rsidRPr="001B5E72">
      <w:fldChar w:fldCharType="separate"/>
    </w:r>
    <w:r w:rsidR="001B5E72" w:rsidRPr="001B5E72">
      <w:t>1</w:t>
    </w:r>
    <w:r w:rsidRPr="001B5E7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F5A1" w14:textId="77777777" w:rsidR="00557E5F" w:rsidRPr="001B5E72" w:rsidRDefault="00557E5F">
      <w:pPr>
        <w:spacing w:after="0" w:line="240" w:lineRule="auto"/>
      </w:pPr>
      <w:r w:rsidRPr="001B5E72">
        <w:separator/>
      </w:r>
    </w:p>
  </w:footnote>
  <w:footnote w:type="continuationSeparator" w:id="0">
    <w:p w14:paraId="55A1AAF5" w14:textId="77777777" w:rsidR="00557E5F" w:rsidRPr="001B5E72" w:rsidRDefault="00557E5F">
      <w:pPr>
        <w:spacing w:after="0" w:line="240" w:lineRule="auto"/>
      </w:pPr>
      <w:r w:rsidRPr="001B5E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5D94" w14:textId="12E81254" w:rsidR="003A0E71" w:rsidRPr="001B5E72" w:rsidRDefault="007B18B9" w:rsidP="001B5E72">
    <w:pPr>
      <w:pStyle w:val="Encabezado"/>
      <w:rPr>
        <w:b/>
        <w:color w:val="586879"/>
        <w:sz w:val="16"/>
      </w:rPr>
    </w:pPr>
    <w:r>
      <w:rPr>
        <w:b/>
        <w:color w:val="586879"/>
        <w:sz w:val="16"/>
      </w:rPr>
      <w:tab/>
    </w:r>
    <w:r>
      <w:rPr>
        <w:b/>
        <w:color w:val="586879"/>
        <w:sz w:val="16"/>
      </w:rPr>
      <w:tab/>
    </w:r>
    <w:r w:rsidR="001B5E72" w:rsidRPr="001B5E72">
      <w:rPr>
        <w:b/>
        <w:color w:val="586879"/>
        <w:sz w:val="16"/>
      </w:rPr>
      <w:drawing>
        <wp:inline distT="0" distB="0" distL="0" distR="0" wp14:anchorId="3B7EB223" wp14:editId="525D6537">
          <wp:extent cx="2202528" cy="541020"/>
          <wp:effectExtent l="0" t="0" r="7620" b="0"/>
          <wp:docPr id="18951397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6373" cy="549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A3F8D2" w14:textId="77777777" w:rsidR="001B5E72" w:rsidRPr="001B5E72" w:rsidRDefault="001B5E72" w:rsidP="001B5E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692760">
    <w:abstractNumId w:val="8"/>
  </w:num>
  <w:num w:numId="2" w16cid:durableId="1169832857">
    <w:abstractNumId w:val="6"/>
  </w:num>
  <w:num w:numId="3" w16cid:durableId="1255553696">
    <w:abstractNumId w:val="5"/>
  </w:num>
  <w:num w:numId="4" w16cid:durableId="1452623667">
    <w:abstractNumId w:val="4"/>
  </w:num>
  <w:num w:numId="5" w16cid:durableId="310404856">
    <w:abstractNumId w:val="7"/>
  </w:num>
  <w:num w:numId="6" w16cid:durableId="1979608620">
    <w:abstractNumId w:val="3"/>
  </w:num>
  <w:num w:numId="7" w16cid:durableId="560335686">
    <w:abstractNumId w:val="2"/>
  </w:num>
  <w:num w:numId="8" w16cid:durableId="1301497241">
    <w:abstractNumId w:val="1"/>
  </w:num>
  <w:num w:numId="9" w16cid:durableId="41741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1A0"/>
    <w:rsid w:val="001B5E72"/>
    <w:rsid w:val="0029639D"/>
    <w:rsid w:val="00326F90"/>
    <w:rsid w:val="003A0E71"/>
    <w:rsid w:val="00557E5F"/>
    <w:rsid w:val="007B18B9"/>
    <w:rsid w:val="00A811B5"/>
    <w:rsid w:val="00AA1D8D"/>
    <w:rsid w:val="00B47730"/>
    <w:rsid w:val="00C701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7DBF99"/>
  <w14:defaultImageDpi w14:val="300"/>
  <w15:docId w15:val="{7731DBFC-9083-4559-97C4-A88E6228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B2A38"/>
      <w:sz w:val="19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14F6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14F69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14F69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14F69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1168</Words>
  <Characters>6425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PagoFlex - Documento de sustento técnico</vt:lpstr>
      <vt:lpstr/>
    </vt:vector>
  </TitlesOfParts>
  <Manager/>
  <Company/>
  <LinksUpToDate>false</LinksUpToDate>
  <CharactersWithSpaces>7578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PagoFlex - Documento de sustento técnico</dc:title>
  <dc:subject>DSY1105 Android MVP</dc:subject>
  <dc:creator>Equipo PagoFlex</dc:creator>
  <cp:keywords>Kotlin; Jetpack Compose; SQLite; MVVM; PagoFlex</cp:keywords>
  <dc:description>generated by python-docx</dc:description>
  <cp:lastModifiedBy>Diego Kohle</cp:lastModifiedBy>
  <cp:revision>2</cp:revision>
  <dcterms:created xsi:type="dcterms:W3CDTF">2013-12-23T23:15:00Z</dcterms:created>
  <dcterms:modified xsi:type="dcterms:W3CDTF">2026-10-21T23:01:00Z</dcterms:modified>
  <cp:category/>
</cp:coreProperties>
</file>