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9273" w14:textId="2DFD73BB" w:rsidR="00AD1963" w:rsidRDefault="00AD1963">
      <w:pPr>
        <w:spacing w:before="700"/>
        <w:jc w:val="center"/>
        <w:rPr>
          <w:b/>
          <w:color w:val="1F4E79"/>
          <w:sz w:val="24"/>
          <w:lang w:val="es-MX"/>
        </w:rPr>
      </w:pPr>
      <w:r>
        <w:rPr>
          <w:noProof/>
        </w:rPr>
        <w:drawing>
          <wp:inline distT="0" distB="0" distL="0" distR="0" wp14:anchorId="29466717" wp14:editId="2101F0F9">
            <wp:extent cx="6400800" cy="1690370"/>
            <wp:effectExtent l="0" t="0" r="0" b="5080"/>
            <wp:docPr id="1409143322" name="Picture 1" descr="Tec-de-Monterrey-logo-horizontal-blue - UN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de-Monterrey-logo-horizontal-blue - UN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1690370"/>
                    </a:xfrm>
                    <a:prstGeom prst="rect">
                      <a:avLst/>
                    </a:prstGeom>
                    <a:noFill/>
                    <a:ln>
                      <a:noFill/>
                    </a:ln>
                  </pic:spPr>
                </pic:pic>
              </a:graphicData>
            </a:graphic>
          </wp:inline>
        </w:drawing>
      </w:r>
    </w:p>
    <w:p w14:paraId="7070043E" w14:textId="77777777" w:rsidR="00AD1963" w:rsidRDefault="00AD1963">
      <w:pPr>
        <w:spacing w:before="700"/>
        <w:jc w:val="center"/>
        <w:rPr>
          <w:b/>
          <w:color w:val="1F4E79"/>
          <w:sz w:val="24"/>
          <w:lang w:val="es-MX"/>
        </w:rPr>
      </w:pPr>
    </w:p>
    <w:p w14:paraId="4E5B3E60" w14:textId="08406948" w:rsidR="00B26C8C" w:rsidRPr="00AD1963" w:rsidRDefault="00000000">
      <w:pPr>
        <w:spacing w:before="700"/>
        <w:jc w:val="center"/>
        <w:rPr>
          <w:lang w:val="es-MX"/>
        </w:rPr>
      </w:pPr>
      <w:r w:rsidRPr="00AD1963">
        <w:rPr>
          <w:b/>
          <w:color w:val="1F4E79"/>
          <w:sz w:val="24"/>
          <w:lang w:val="es-MX"/>
        </w:rPr>
        <w:t>Instituto Tecnológico y de Estudios Superiores de Monterrey</w:t>
      </w:r>
    </w:p>
    <w:p w14:paraId="1D74C052" w14:textId="77777777" w:rsidR="00B26C8C" w:rsidRDefault="00000000">
      <w:pPr>
        <w:jc w:val="center"/>
      </w:pPr>
      <w:r>
        <w:rPr>
          <w:color w:val="595959"/>
          <w:sz w:val="22"/>
        </w:rPr>
        <w:t>Data Analytics and Artificial Intelligence Tools</w:t>
      </w:r>
    </w:p>
    <w:p w14:paraId="2302BC4B" w14:textId="77777777" w:rsidR="00B26C8C" w:rsidRDefault="00000000">
      <w:pPr>
        <w:spacing w:before="720"/>
        <w:jc w:val="center"/>
      </w:pPr>
      <w:r>
        <w:rPr>
          <w:b/>
          <w:color w:val="1F4E79"/>
          <w:sz w:val="44"/>
        </w:rPr>
        <w:t>Stage 4.3 Report</w:t>
      </w:r>
    </w:p>
    <w:p w14:paraId="3AFE4D0F" w14:textId="77777777" w:rsidR="00B26C8C" w:rsidRDefault="00000000">
      <w:pPr>
        <w:jc w:val="center"/>
      </w:pPr>
      <w:r>
        <w:rPr>
          <w:b/>
          <w:color w:val="C55A11"/>
          <w:sz w:val="32"/>
        </w:rPr>
        <w:t>Correlation, Linear Regression and Time Series Analysis</w:t>
      </w:r>
    </w:p>
    <w:p w14:paraId="48DEFAB0" w14:textId="77777777" w:rsidR="00B26C8C" w:rsidRPr="00AD1963" w:rsidRDefault="00000000">
      <w:pPr>
        <w:spacing w:before="360"/>
        <w:jc w:val="center"/>
        <w:rPr>
          <w:lang w:val="es-MX"/>
        </w:rPr>
      </w:pPr>
      <w:r w:rsidRPr="00AD1963">
        <w:rPr>
          <w:b/>
          <w:color w:val="595959"/>
          <w:sz w:val="26"/>
          <w:lang w:val="es-MX"/>
        </w:rPr>
        <w:t xml:space="preserve">Panem Demand </w:t>
      </w:r>
      <w:proofErr w:type="spellStart"/>
      <w:r w:rsidRPr="00AD1963">
        <w:rPr>
          <w:b/>
          <w:color w:val="595959"/>
          <w:sz w:val="26"/>
          <w:lang w:val="es-MX"/>
        </w:rPr>
        <w:t>Forecasting</w:t>
      </w:r>
      <w:proofErr w:type="spellEnd"/>
    </w:p>
    <w:p w14:paraId="2D43FB4B" w14:textId="77777777" w:rsidR="00B26C8C" w:rsidRPr="00AD1963" w:rsidRDefault="00000000">
      <w:pPr>
        <w:spacing w:before="560"/>
        <w:jc w:val="center"/>
        <w:rPr>
          <w:lang w:val="es-MX"/>
        </w:rPr>
      </w:pPr>
      <w:r w:rsidRPr="00AD1963">
        <w:rPr>
          <w:b/>
          <w:sz w:val="24"/>
          <w:lang w:val="es-MX"/>
        </w:rPr>
        <w:t>Team 5</w:t>
      </w:r>
    </w:p>
    <w:p w14:paraId="240C3F6B" w14:textId="77777777" w:rsidR="00B26C8C" w:rsidRPr="00AD1963" w:rsidRDefault="00000000">
      <w:pPr>
        <w:jc w:val="center"/>
        <w:rPr>
          <w:lang w:val="es-MX"/>
        </w:rPr>
      </w:pPr>
      <w:r w:rsidRPr="00AD1963">
        <w:rPr>
          <w:lang w:val="es-MX"/>
        </w:rPr>
        <w:t>Jesús Emiliano Morales Villela — A00840087</w:t>
      </w:r>
    </w:p>
    <w:p w14:paraId="04E9B72E" w14:textId="77777777" w:rsidR="00B26C8C" w:rsidRPr="00AD1963" w:rsidRDefault="00000000">
      <w:pPr>
        <w:jc w:val="center"/>
        <w:rPr>
          <w:lang w:val="es-MX"/>
        </w:rPr>
      </w:pPr>
      <w:r w:rsidRPr="00AD1963">
        <w:rPr>
          <w:lang w:val="es-MX"/>
        </w:rPr>
        <w:t>Luis Diego Dominguez Larrieta — A01275640</w:t>
      </w:r>
    </w:p>
    <w:p w14:paraId="152501E2" w14:textId="77777777" w:rsidR="00B26C8C" w:rsidRPr="00AD1963" w:rsidRDefault="00000000">
      <w:pPr>
        <w:jc w:val="center"/>
        <w:rPr>
          <w:lang w:val="es-MX"/>
        </w:rPr>
      </w:pPr>
      <w:r w:rsidRPr="00AD1963">
        <w:rPr>
          <w:lang w:val="es-MX"/>
        </w:rPr>
        <w:t>David Alexander López Guzmán — A00835935</w:t>
      </w:r>
    </w:p>
    <w:p w14:paraId="47C5E7FC" w14:textId="77777777" w:rsidR="00B26C8C" w:rsidRPr="00AD1963" w:rsidRDefault="00000000">
      <w:pPr>
        <w:jc w:val="center"/>
        <w:rPr>
          <w:lang w:val="es-MX"/>
        </w:rPr>
      </w:pPr>
      <w:proofErr w:type="spellStart"/>
      <w:r w:rsidRPr="00AD1963">
        <w:rPr>
          <w:lang w:val="es-MX"/>
        </w:rPr>
        <w:t>Jose</w:t>
      </w:r>
      <w:proofErr w:type="spellEnd"/>
      <w:r w:rsidRPr="00AD1963">
        <w:rPr>
          <w:lang w:val="es-MX"/>
        </w:rPr>
        <w:t xml:space="preserve"> Dolores </w:t>
      </w:r>
      <w:proofErr w:type="spellStart"/>
      <w:r w:rsidRPr="00AD1963">
        <w:rPr>
          <w:lang w:val="es-MX"/>
        </w:rPr>
        <w:t>Gomez</w:t>
      </w:r>
      <w:proofErr w:type="spellEnd"/>
      <w:r w:rsidRPr="00AD1963">
        <w:rPr>
          <w:lang w:val="es-MX"/>
        </w:rPr>
        <w:t xml:space="preserve"> Soto — A01712281</w:t>
      </w:r>
    </w:p>
    <w:p w14:paraId="0E6180D2" w14:textId="77777777" w:rsidR="00B26C8C" w:rsidRPr="00AD1963" w:rsidRDefault="00000000">
      <w:pPr>
        <w:jc w:val="center"/>
        <w:rPr>
          <w:lang w:val="es-MX"/>
        </w:rPr>
      </w:pPr>
      <w:r w:rsidRPr="00AD1963">
        <w:rPr>
          <w:lang w:val="es-MX"/>
        </w:rPr>
        <w:t>Ignacio Xavier Chávez Quiroz — A00574357</w:t>
      </w:r>
    </w:p>
    <w:p w14:paraId="512EF2A6" w14:textId="77777777" w:rsidR="00B26C8C" w:rsidRPr="00AD1963" w:rsidRDefault="00000000">
      <w:pPr>
        <w:rPr>
          <w:lang w:val="es-MX"/>
        </w:rPr>
      </w:pPr>
      <w:r w:rsidRPr="00AD1963">
        <w:rPr>
          <w:lang w:val="es-MX"/>
        </w:rPr>
        <w:br w:type="page"/>
      </w:r>
    </w:p>
    <w:p w14:paraId="111F990F" w14:textId="52196D66" w:rsidR="00B26C8C" w:rsidRDefault="00AD1963">
      <w:pPr>
        <w:pStyle w:val="Heading1"/>
      </w:pPr>
      <w:r>
        <w:lastRenderedPageBreak/>
        <w:t>Index</w:t>
      </w:r>
    </w:p>
    <w:p w14:paraId="043F8442" w14:textId="77777777" w:rsidR="00B26C8C" w:rsidRDefault="00000000">
      <w:pPr>
        <w:ind w:left="216"/>
      </w:pPr>
      <w:r>
        <w:t>1. Executive Summary</w:t>
      </w:r>
    </w:p>
    <w:p w14:paraId="13C1871C" w14:textId="77777777" w:rsidR="00B26C8C" w:rsidRDefault="00000000">
      <w:pPr>
        <w:ind w:left="216"/>
      </w:pPr>
      <w:r>
        <w:t>2. Business Context and Analytical Objective</w:t>
      </w:r>
    </w:p>
    <w:p w14:paraId="0268FA51" w14:textId="77777777" w:rsidR="00B26C8C" w:rsidRDefault="00000000">
      <w:pPr>
        <w:ind w:left="216"/>
      </w:pPr>
      <w:r>
        <w:t>3. Dataset Construction and Feature Preparation</w:t>
      </w:r>
    </w:p>
    <w:p w14:paraId="1057B14C" w14:textId="77777777" w:rsidR="00B26C8C" w:rsidRDefault="00000000">
      <w:pPr>
        <w:ind w:left="216"/>
      </w:pPr>
      <w:r>
        <w:t>4. Correlation Analysis</w:t>
      </w:r>
    </w:p>
    <w:p w14:paraId="0F39691C" w14:textId="77777777" w:rsidR="00B26C8C" w:rsidRDefault="00000000">
      <w:pPr>
        <w:ind w:left="216"/>
      </w:pPr>
      <w:r>
        <w:t>5. Selected Product: CONCHA VAINILLA</w:t>
      </w:r>
    </w:p>
    <w:p w14:paraId="28822001" w14:textId="77777777" w:rsidR="00B26C8C" w:rsidRDefault="00000000">
      <w:pPr>
        <w:ind w:left="216"/>
      </w:pPr>
      <w:r>
        <w:t>6. Linear Regression Models</w:t>
      </w:r>
    </w:p>
    <w:p w14:paraId="23128F1F" w14:textId="77777777" w:rsidR="00B26C8C" w:rsidRDefault="00000000">
      <w:pPr>
        <w:ind w:left="216"/>
      </w:pPr>
      <w:r>
        <w:t>7. Time Series Analysis and 6-Month Forecast</w:t>
      </w:r>
    </w:p>
    <w:p w14:paraId="1A095A0D" w14:textId="77777777" w:rsidR="00B26C8C" w:rsidRDefault="00000000">
      <w:pPr>
        <w:ind w:left="216"/>
      </w:pPr>
      <w:r>
        <w:t>8. Model Validity, Limitations and Recommendations</w:t>
      </w:r>
    </w:p>
    <w:p w14:paraId="4757CA1B" w14:textId="3486BF6B" w:rsidR="00B26C8C" w:rsidRDefault="00000000" w:rsidP="00AD1963">
      <w:pPr>
        <w:ind w:left="216"/>
      </w:pPr>
      <w:r>
        <w:t>9. Conclusion</w:t>
      </w:r>
    </w:p>
    <w:p w14:paraId="0DF15B35" w14:textId="77777777" w:rsidR="00B26C8C" w:rsidRDefault="00000000">
      <w:pPr>
        <w:pStyle w:val="Heading1"/>
      </w:pPr>
      <w:r>
        <w:t>1. Executive Summary</w:t>
      </w:r>
    </w:p>
    <w:p w14:paraId="7F44BB38" w14:textId="77777777" w:rsidR="00B26C8C" w:rsidRDefault="00000000">
      <w:r>
        <w:t>This Stage 4.3 analysis applies the CRISP-DM Modeling phase to Panem’s historical sales data, focusing on three connected tasks: correlation analysis, linear regression, and time-series forecasting. The purpose is to understand which variables are most related to sales quantity and how historical behavior can be used to anticipate future demand for a key product.</w:t>
      </w:r>
    </w:p>
    <w:p w14:paraId="0ACF51AD" w14:textId="77777777" w:rsidR="00B26C8C" w:rsidRDefault="00000000">
      <w:r>
        <w:t>The notebook merged seven branch datasets into a single analytical table with 574,738 rows and 29 variables, covering the period from 2022-01-31 to 2026-02-12. The main target variable is quantity, interpreted as units sold. The analysis selected CONCHA VAINILLA as the focal product because it is the highest-volume item in the dataset, with 236,793 units sold and 8,130 rows available for modeling.</w:t>
      </w:r>
    </w:p>
    <w:p w14:paraId="4E7D16EA" w14:textId="77777777" w:rsidR="00B26C8C" w:rsidRDefault="00000000">
      <w:r>
        <w:t>The central statistical finding is that recent sales history is the strongest predictor of current quantity. Rolling demand features show correlations with quantity between 0.54 and 0.71, while calendar, branch and weather variables show much weaker direct linear correlations. This does not mean that calendar and weather are irrelevant, but it suggests that their relationship with demand is less direct and may require interaction terms or non-linear models.</w:t>
      </w:r>
    </w:p>
    <w:p w14:paraId="2FE4EA46" w14:textId="77777777" w:rsidR="00B26C8C" w:rsidRDefault="00000000">
      <w:r>
        <w:t>Two linear regression models were compared. Model A used only calendar, branch and weather variables and achieved MAE = 16.050, RMSE = 20.810 and R² = 0.1601. Model B added rolling demand features and improved performance to MAE = 11.862, RMSE = 16.424 and R² = 0.4768. This means Model B explains substantially more test variation and reduces average error, but it remains imperfect because demand is noisy, count-like, and affected by unobserved factors such as promotions, stockouts and branch operations.</w:t>
      </w:r>
    </w:p>
    <w:p w14:paraId="7BFC3C0B" w14:textId="77777777" w:rsidR="00B26C8C" w:rsidRDefault="00000000">
      <w:r>
        <w:t>Finally, the time-series analysis shows an upward monthly trend for CONCHA VAINILLA, with a trend slope of +93.50 units per month. Seasonality indicates a peak around month 5 and a trough around month 2. Holt-Winters and SARIMA were used for a six-month forecast, with Holt-Winters serving as the more stable primary model and SARIMA as a cross-check. The forecasts should be used as planning guidance with managerial review and safety buffers, not as automatic exact production quantities.</w:t>
      </w:r>
    </w:p>
    <w:p w14:paraId="1698702E" w14:textId="77777777" w:rsidR="00B26C8C" w:rsidRDefault="00000000">
      <w:pPr>
        <w:pStyle w:val="Heading1"/>
      </w:pPr>
      <w:r>
        <w:t>2. Business Context and Analytical Objective</w:t>
      </w:r>
    </w:p>
    <w:p w14:paraId="711443B0" w14:textId="77777777" w:rsidR="00B26C8C" w:rsidRDefault="00000000">
      <w:r>
        <w:t>Panem’s operational problem is a demand planning problem. The company needs to decide how many units of each product should be prepared and distributed before actual demand is fully known. In this context, overproduction creates waste and underproduction creates lost sales and lower customer satisfaction. Therefore, the analysis focuses on units sold rather than revenue because production decisions require physical quantities.</w:t>
      </w:r>
    </w:p>
    <w:p w14:paraId="3175B2DF" w14:textId="77777777" w:rsidR="00B26C8C" w:rsidRDefault="00000000">
      <w:r>
        <w:lastRenderedPageBreak/>
        <w:t>From a statistical and machine learning perspective, the task is a supervised regression problem with temporal dependence. The target is quantity and the explanatory variables include calendar features, branch identifiers, temperature/weather indicators, holiday flags and rolling historical demand features. The notebook specifically evaluates whether these variables help explain and predict sales quantity for the selected top product.</w:t>
      </w:r>
    </w:p>
    <w:p w14:paraId="0B5BD946" w14:textId="77777777" w:rsidR="00B26C8C" w:rsidRDefault="00000000">
      <w:pPr>
        <w:pStyle w:val="Heading1"/>
      </w:pPr>
      <w:r>
        <w:t>3. Dataset Construction and Feature Preparation</w:t>
      </w:r>
    </w:p>
    <w:p w14:paraId="5DAB181D" w14:textId="77777777" w:rsidR="00B26C8C" w:rsidRDefault="00000000">
      <w:r>
        <w:t>The source data is divided by branch. The notebook loaded seven branch datasets and then concatenated them into one merged DataFrame. The resulting analytical base has 574,738 rows and 29 columns, with observations from 2022-01-31 to 2026-02-12. This consolidated structure allows the model to evaluate demand behavior across all branches while still preserving branch-level information through the sucursal variable and its encoded form.</w:t>
      </w:r>
    </w:p>
    <w:tbl>
      <w:tblPr>
        <w:tblW w:w="0" w:type="auto"/>
        <w:jc w:val="center"/>
        <w:tblLook w:val="04A0" w:firstRow="1" w:lastRow="0" w:firstColumn="1" w:lastColumn="0" w:noHBand="0" w:noVBand="1"/>
      </w:tblPr>
      <w:tblGrid>
        <w:gridCol w:w="3358"/>
        <w:gridCol w:w="3356"/>
        <w:gridCol w:w="3356"/>
      </w:tblGrid>
      <w:tr w:rsidR="00B26C8C" w14:paraId="2400E7C6" w14:textId="77777777">
        <w:trPr>
          <w:jc w:val="center"/>
        </w:trPr>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07C8E788" w14:textId="77777777" w:rsidR="00B26C8C" w:rsidRDefault="00000000">
            <w:pPr>
              <w:spacing w:after="0"/>
            </w:pPr>
            <w:r>
              <w:rPr>
                <w:b/>
                <w:color w:val="FFFFFF"/>
                <w:sz w:val="17"/>
              </w:rPr>
              <w:t>Branch dataset</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4166FB76" w14:textId="77777777" w:rsidR="00B26C8C" w:rsidRDefault="00000000">
            <w:pPr>
              <w:spacing w:after="0"/>
            </w:pPr>
            <w:r>
              <w:rPr>
                <w:b/>
                <w:color w:val="FFFFFF"/>
                <w:sz w:val="17"/>
              </w:rPr>
              <w:t>Rows</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26C9BA68" w14:textId="77777777" w:rsidR="00B26C8C" w:rsidRDefault="00000000">
            <w:pPr>
              <w:spacing w:after="0"/>
            </w:pPr>
            <w:r>
              <w:rPr>
                <w:b/>
                <w:color w:val="FFFFFF"/>
                <w:sz w:val="17"/>
              </w:rPr>
              <w:t>Columns</w:t>
            </w:r>
          </w:p>
        </w:tc>
      </w:tr>
      <w:tr w:rsidR="00B26C8C" w14:paraId="696B5C3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51C84F0D" w14:textId="77777777" w:rsidR="00B26C8C" w:rsidRDefault="00000000">
            <w:pPr>
              <w:spacing w:after="0"/>
            </w:pPr>
            <w:r>
              <w:rPr>
                <w:sz w:val="17"/>
              </w:rPr>
              <w:t>punto_valle</w:t>
            </w:r>
          </w:p>
        </w:tc>
        <w:tc>
          <w:tcPr>
            <w:tcW w:w="3360" w:type="dxa"/>
            <w:tcBorders>
              <w:top w:val="single" w:sz="4" w:space="0" w:color="D9E2F3"/>
              <w:left w:val="single" w:sz="4" w:space="0" w:color="D9E2F3"/>
              <w:bottom w:val="single" w:sz="4" w:space="0" w:color="D9E2F3"/>
              <w:right w:val="single" w:sz="4" w:space="0" w:color="D9E2F3"/>
            </w:tcBorders>
            <w:vAlign w:val="center"/>
          </w:tcPr>
          <w:p w14:paraId="0C8D8170" w14:textId="77777777" w:rsidR="00B26C8C" w:rsidRDefault="00000000">
            <w:pPr>
              <w:spacing w:after="0"/>
            </w:pPr>
            <w:r>
              <w:rPr>
                <w:sz w:val="17"/>
              </w:rPr>
              <w:t>107,602</w:t>
            </w:r>
          </w:p>
        </w:tc>
        <w:tc>
          <w:tcPr>
            <w:tcW w:w="3360" w:type="dxa"/>
            <w:tcBorders>
              <w:top w:val="single" w:sz="4" w:space="0" w:color="D9E2F3"/>
              <w:left w:val="single" w:sz="4" w:space="0" w:color="D9E2F3"/>
              <w:bottom w:val="single" w:sz="4" w:space="0" w:color="D9E2F3"/>
              <w:right w:val="single" w:sz="4" w:space="0" w:color="D9E2F3"/>
            </w:tcBorders>
            <w:vAlign w:val="center"/>
          </w:tcPr>
          <w:p w14:paraId="2BAB65C1" w14:textId="77777777" w:rsidR="00B26C8C" w:rsidRDefault="00000000">
            <w:pPr>
              <w:spacing w:after="0"/>
            </w:pPr>
            <w:r>
              <w:rPr>
                <w:sz w:val="17"/>
              </w:rPr>
              <w:t>20</w:t>
            </w:r>
          </w:p>
        </w:tc>
      </w:tr>
      <w:tr w:rsidR="00B26C8C" w14:paraId="6820412B"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56BD0E7B" w14:textId="77777777" w:rsidR="00B26C8C" w:rsidRDefault="00000000">
            <w:pPr>
              <w:spacing w:after="0"/>
            </w:pPr>
            <w:r>
              <w:rPr>
                <w:sz w:val="17"/>
              </w:rPr>
              <w:t>plaza_qin</w:t>
            </w:r>
          </w:p>
        </w:tc>
        <w:tc>
          <w:tcPr>
            <w:tcW w:w="3360" w:type="dxa"/>
            <w:tcBorders>
              <w:top w:val="single" w:sz="4" w:space="0" w:color="D9E2F3"/>
              <w:left w:val="single" w:sz="4" w:space="0" w:color="D9E2F3"/>
              <w:bottom w:val="single" w:sz="4" w:space="0" w:color="D9E2F3"/>
              <w:right w:val="single" w:sz="4" w:space="0" w:color="D9E2F3"/>
            </w:tcBorders>
            <w:vAlign w:val="center"/>
          </w:tcPr>
          <w:p w14:paraId="2DE16B7D" w14:textId="77777777" w:rsidR="00B26C8C" w:rsidRDefault="00000000">
            <w:pPr>
              <w:spacing w:after="0"/>
            </w:pPr>
            <w:r>
              <w:rPr>
                <w:sz w:val="17"/>
              </w:rPr>
              <w:t>104,025</w:t>
            </w:r>
          </w:p>
        </w:tc>
        <w:tc>
          <w:tcPr>
            <w:tcW w:w="3360" w:type="dxa"/>
            <w:tcBorders>
              <w:top w:val="single" w:sz="4" w:space="0" w:color="D9E2F3"/>
              <w:left w:val="single" w:sz="4" w:space="0" w:color="D9E2F3"/>
              <w:bottom w:val="single" w:sz="4" w:space="0" w:color="D9E2F3"/>
              <w:right w:val="single" w:sz="4" w:space="0" w:color="D9E2F3"/>
            </w:tcBorders>
            <w:vAlign w:val="center"/>
          </w:tcPr>
          <w:p w14:paraId="3BE555FB" w14:textId="77777777" w:rsidR="00B26C8C" w:rsidRDefault="00000000">
            <w:pPr>
              <w:spacing w:after="0"/>
            </w:pPr>
            <w:r>
              <w:rPr>
                <w:sz w:val="17"/>
              </w:rPr>
              <w:t>20</w:t>
            </w:r>
          </w:p>
        </w:tc>
      </w:tr>
      <w:tr w:rsidR="00B26C8C" w14:paraId="5445FE0D"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3870F74C" w14:textId="77777777" w:rsidR="00B26C8C" w:rsidRDefault="00000000">
            <w:pPr>
              <w:spacing w:after="0"/>
            </w:pPr>
            <w:r>
              <w:rPr>
                <w:sz w:val="17"/>
              </w:rPr>
              <w:t>plaza_nativa</w:t>
            </w:r>
          </w:p>
        </w:tc>
        <w:tc>
          <w:tcPr>
            <w:tcW w:w="3360" w:type="dxa"/>
            <w:tcBorders>
              <w:top w:val="single" w:sz="4" w:space="0" w:color="D9E2F3"/>
              <w:left w:val="single" w:sz="4" w:space="0" w:color="D9E2F3"/>
              <w:bottom w:val="single" w:sz="4" w:space="0" w:color="D9E2F3"/>
              <w:right w:val="single" w:sz="4" w:space="0" w:color="D9E2F3"/>
            </w:tcBorders>
            <w:vAlign w:val="center"/>
          </w:tcPr>
          <w:p w14:paraId="60CBEEEE" w14:textId="77777777" w:rsidR="00B26C8C" w:rsidRDefault="00000000">
            <w:pPr>
              <w:spacing w:after="0"/>
            </w:pPr>
            <w:r>
              <w:rPr>
                <w:sz w:val="17"/>
              </w:rPr>
              <w:t>53,502</w:t>
            </w:r>
          </w:p>
        </w:tc>
        <w:tc>
          <w:tcPr>
            <w:tcW w:w="3360" w:type="dxa"/>
            <w:tcBorders>
              <w:top w:val="single" w:sz="4" w:space="0" w:color="D9E2F3"/>
              <w:left w:val="single" w:sz="4" w:space="0" w:color="D9E2F3"/>
              <w:bottom w:val="single" w:sz="4" w:space="0" w:color="D9E2F3"/>
              <w:right w:val="single" w:sz="4" w:space="0" w:color="D9E2F3"/>
            </w:tcBorders>
            <w:vAlign w:val="center"/>
          </w:tcPr>
          <w:p w14:paraId="0A9A15E1" w14:textId="77777777" w:rsidR="00B26C8C" w:rsidRDefault="00000000">
            <w:pPr>
              <w:spacing w:after="0"/>
            </w:pPr>
            <w:r>
              <w:rPr>
                <w:sz w:val="17"/>
              </w:rPr>
              <w:t>20</w:t>
            </w:r>
          </w:p>
        </w:tc>
      </w:tr>
      <w:tr w:rsidR="00B26C8C" w14:paraId="020F67F0"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C302419" w14:textId="77777777" w:rsidR="00B26C8C" w:rsidRDefault="00000000">
            <w:pPr>
              <w:spacing w:after="0"/>
            </w:pPr>
            <w:r>
              <w:rPr>
                <w:sz w:val="17"/>
              </w:rPr>
              <w:t>hotel_kavia</w:t>
            </w:r>
          </w:p>
        </w:tc>
        <w:tc>
          <w:tcPr>
            <w:tcW w:w="3360" w:type="dxa"/>
            <w:tcBorders>
              <w:top w:val="single" w:sz="4" w:space="0" w:color="D9E2F3"/>
              <w:left w:val="single" w:sz="4" w:space="0" w:color="D9E2F3"/>
              <w:bottom w:val="single" w:sz="4" w:space="0" w:color="D9E2F3"/>
              <w:right w:val="single" w:sz="4" w:space="0" w:color="D9E2F3"/>
            </w:tcBorders>
            <w:vAlign w:val="center"/>
          </w:tcPr>
          <w:p w14:paraId="7DE591B8" w14:textId="77777777" w:rsidR="00B26C8C" w:rsidRDefault="00000000">
            <w:pPr>
              <w:spacing w:after="0"/>
            </w:pPr>
            <w:r>
              <w:rPr>
                <w:sz w:val="17"/>
              </w:rPr>
              <w:t>85,698</w:t>
            </w:r>
          </w:p>
        </w:tc>
        <w:tc>
          <w:tcPr>
            <w:tcW w:w="3360" w:type="dxa"/>
            <w:tcBorders>
              <w:top w:val="single" w:sz="4" w:space="0" w:color="D9E2F3"/>
              <w:left w:val="single" w:sz="4" w:space="0" w:color="D9E2F3"/>
              <w:bottom w:val="single" w:sz="4" w:space="0" w:color="D9E2F3"/>
              <w:right w:val="single" w:sz="4" w:space="0" w:color="D9E2F3"/>
            </w:tcBorders>
            <w:vAlign w:val="center"/>
          </w:tcPr>
          <w:p w14:paraId="6B143A59" w14:textId="77777777" w:rsidR="00B26C8C" w:rsidRDefault="00000000">
            <w:pPr>
              <w:spacing w:after="0"/>
            </w:pPr>
            <w:r>
              <w:rPr>
                <w:sz w:val="17"/>
              </w:rPr>
              <w:t>20</w:t>
            </w:r>
          </w:p>
        </w:tc>
      </w:tr>
      <w:tr w:rsidR="00B26C8C" w14:paraId="014FD319"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2413228E" w14:textId="77777777" w:rsidR="00B26C8C" w:rsidRDefault="00000000">
            <w:pPr>
              <w:spacing w:after="0"/>
            </w:pPr>
            <w:r>
              <w:rPr>
                <w:sz w:val="17"/>
              </w:rPr>
              <w:t>hospital_zambrano</w:t>
            </w:r>
          </w:p>
        </w:tc>
        <w:tc>
          <w:tcPr>
            <w:tcW w:w="3360" w:type="dxa"/>
            <w:tcBorders>
              <w:top w:val="single" w:sz="4" w:space="0" w:color="D9E2F3"/>
              <w:left w:val="single" w:sz="4" w:space="0" w:color="D9E2F3"/>
              <w:bottom w:val="single" w:sz="4" w:space="0" w:color="D9E2F3"/>
              <w:right w:val="single" w:sz="4" w:space="0" w:color="D9E2F3"/>
            </w:tcBorders>
            <w:vAlign w:val="center"/>
          </w:tcPr>
          <w:p w14:paraId="0D215631" w14:textId="77777777" w:rsidR="00B26C8C" w:rsidRDefault="00000000">
            <w:pPr>
              <w:spacing w:after="0"/>
            </w:pPr>
            <w:r>
              <w:rPr>
                <w:sz w:val="17"/>
              </w:rPr>
              <w:t>93,500</w:t>
            </w:r>
          </w:p>
        </w:tc>
        <w:tc>
          <w:tcPr>
            <w:tcW w:w="3360" w:type="dxa"/>
            <w:tcBorders>
              <w:top w:val="single" w:sz="4" w:space="0" w:color="D9E2F3"/>
              <w:left w:val="single" w:sz="4" w:space="0" w:color="D9E2F3"/>
              <w:bottom w:val="single" w:sz="4" w:space="0" w:color="D9E2F3"/>
              <w:right w:val="single" w:sz="4" w:space="0" w:color="D9E2F3"/>
            </w:tcBorders>
            <w:vAlign w:val="center"/>
          </w:tcPr>
          <w:p w14:paraId="52F44D8C" w14:textId="77777777" w:rsidR="00B26C8C" w:rsidRDefault="00000000">
            <w:pPr>
              <w:spacing w:after="0"/>
            </w:pPr>
            <w:r>
              <w:rPr>
                <w:sz w:val="17"/>
              </w:rPr>
              <w:t>20</w:t>
            </w:r>
          </w:p>
        </w:tc>
      </w:tr>
      <w:tr w:rsidR="00B26C8C" w14:paraId="0518615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6E621463" w14:textId="77777777" w:rsidR="00B26C8C" w:rsidRDefault="00000000">
            <w:pPr>
              <w:spacing w:after="0"/>
            </w:pPr>
            <w:r>
              <w:rPr>
                <w:sz w:val="17"/>
              </w:rPr>
              <w:t>credi_club</w:t>
            </w:r>
          </w:p>
        </w:tc>
        <w:tc>
          <w:tcPr>
            <w:tcW w:w="3360" w:type="dxa"/>
            <w:tcBorders>
              <w:top w:val="single" w:sz="4" w:space="0" w:color="D9E2F3"/>
              <w:left w:val="single" w:sz="4" w:space="0" w:color="D9E2F3"/>
              <w:bottom w:val="single" w:sz="4" w:space="0" w:color="D9E2F3"/>
              <w:right w:val="single" w:sz="4" w:space="0" w:color="D9E2F3"/>
            </w:tcBorders>
            <w:vAlign w:val="center"/>
          </w:tcPr>
          <w:p w14:paraId="43B4FD8C" w14:textId="77777777" w:rsidR="00B26C8C" w:rsidRDefault="00000000">
            <w:pPr>
              <w:spacing w:after="0"/>
            </w:pPr>
            <w:r>
              <w:rPr>
                <w:sz w:val="17"/>
              </w:rPr>
              <w:t>24,123</w:t>
            </w:r>
          </w:p>
        </w:tc>
        <w:tc>
          <w:tcPr>
            <w:tcW w:w="3360" w:type="dxa"/>
            <w:tcBorders>
              <w:top w:val="single" w:sz="4" w:space="0" w:color="D9E2F3"/>
              <w:left w:val="single" w:sz="4" w:space="0" w:color="D9E2F3"/>
              <w:bottom w:val="single" w:sz="4" w:space="0" w:color="D9E2F3"/>
              <w:right w:val="single" w:sz="4" w:space="0" w:color="D9E2F3"/>
            </w:tcBorders>
            <w:vAlign w:val="center"/>
          </w:tcPr>
          <w:p w14:paraId="116FB250" w14:textId="77777777" w:rsidR="00B26C8C" w:rsidRDefault="00000000">
            <w:pPr>
              <w:spacing w:after="0"/>
            </w:pPr>
            <w:r>
              <w:rPr>
                <w:sz w:val="17"/>
              </w:rPr>
              <w:t>20</w:t>
            </w:r>
          </w:p>
        </w:tc>
      </w:tr>
      <w:tr w:rsidR="00B26C8C" w14:paraId="77104DF0"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35BC60A" w14:textId="77777777" w:rsidR="00B26C8C" w:rsidRDefault="00000000">
            <w:pPr>
              <w:spacing w:after="0"/>
            </w:pPr>
            <w:r>
              <w:rPr>
                <w:sz w:val="17"/>
              </w:rPr>
              <w:t>carreta</w:t>
            </w:r>
          </w:p>
        </w:tc>
        <w:tc>
          <w:tcPr>
            <w:tcW w:w="3360" w:type="dxa"/>
            <w:tcBorders>
              <w:top w:val="single" w:sz="4" w:space="0" w:color="D9E2F3"/>
              <w:left w:val="single" w:sz="4" w:space="0" w:color="D9E2F3"/>
              <w:bottom w:val="single" w:sz="4" w:space="0" w:color="D9E2F3"/>
              <w:right w:val="single" w:sz="4" w:space="0" w:color="D9E2F3"/>
            </w:tcBorders>
            <w:vAlign w:val="center"/>
          </w:tcPr>
          <w:p w14:paraId="42C92947" w14:textId="77777777" w:rsidR="00B26C8C" w:rsidRDefault="00000000">
            <w:pPr>
              <w:spacing w:after="0"/>
            </w:pPr>
            <w:r>
              <w:rPr>
                <w:sz w:val="17"/>
              </w:rPr>
              <w:t>106,288</w:t>
            </w:r>
          </w:p>
        </w:tc>
        <w:tc>
          <w:tcPr>
            <w:tcW w:w="3360" w:type="dxa"/>
            <w:tcBorders>
              <w:top w:val="single" w:sz="4" w:space="0" w:color="D9E2F3"/>
              <w:left w:val="single" w:sz="4" w:space="0" w:color="D9E2F3"/>
              <w:bottom w:val="single" w:sz="4" w:space="0" w:color="D9E2F3"/>
              <w:right w:val="single" w:sz="4" w:space="0" w:color="D9E2F3"/>
            </w:tcBorders>
            <w:vAlign w:val="center"/>
          </w:tcPr>
          <w:p w14:paraId="3A4152BF" w14:textId="77777777" w:rsidR="00B26C8C" w:rsidRDefault="00000000">
            <w:pPr>
              <w:spacing w:after="0"/>
            </w:pPr>
            <w:r>
              <w:rPr>
                <w:sz w:val="17"/>
              </w:rPr>
              <w:t>20</w:t>
            </w:r>
          </w:p>
        </w:tc>
      </w:tr>
    </w:tbl>
    <w:p w14:paraId="478AE740" w14:textId="77777777" w:rsidR="00B26C8C" w:rsidRDefault="00000000">
      <w:pPr>
        <w:spacing w:after="160"/>
        <w:jc w:val="center"/>
      </w:pPr>
      <w:r>
        <w:rPr>
          <w:i/>
          <w:color w:val="595959"/>
          <w:sz w:val="18"/>
        </w:rPr>
        <w:t>Table 1. Branch-level dataset sizes loaded in the notebook.</w:t>
      </w:r>
    </w:p>
    <w:p w14:paraId="6F62E683" w14:textId="47356EC6" w:rsidR="00B26C8C" w:rsidRDefault="00000000">
      <w:r>
        <w:t>Feature engineering expanded the raw sales records into a more suitable modeling table. The notebook created time variables such as week_of_year, day_of_week, year and quarter; categorical encodings such as sucursal_code and season_code; binary variables such as is_holiday and is_warm; and rolling historical demand variables such as qty_roll_1, qty_roll_3, qty_roll_7, qty_roll_15, qty_roll_30, qty_roll_60, qty_roll_90, qty_roll_180 and qty_roll_365.</w:t>
      </w:r>
    </w:p>
    <w:p w14:paraId="403231D1" w14:textId="77777777" w:rsidR="00B26C8C" w:rsidRDefault="00000000">
      <w:pPr>
        <w:pStyle w:val="Heading1"/>
      </w:pPr>
      <w:r>
        <w:t>4. Correlation Analysis</w:t>
      </w:r>
    </w:p>
    <w:p w14:paraId="60ADED13" w14:textId="77777777" w:rsidR="00B26C8C" w:rsidRDefault="00000000">
      <w:r>
        <w:t>The correlation analysis used the numeric variables in the merged dataset. Conceptually, the Pearson correlation coefficient measures the direction and strength of a linear relationship between two numeric variables. Values near +1 indicate strong positive linear association, values near -1 indicate strong negative association, and values near 0 indicate weak linear association. Correlation is useful for preliminary feature selection, but it does not prove causality.</w:t>
      </w:r>
    </w:p>
    <w:p w14:paraId="0B6CDD0E" w14:textId="77777777" w:rsidR="00B26C8C" w:rsidRDefault="00000000">
      <w:pPr>
        <w:jc w:val="center"/>
      </w:pPr>
      <w:r>
        <w:rPr>
          <w:noProof/>
        </w:rPr>
        <w:lastRenderedPageBreak/>
        <w:drawing>
          <wp:inline distT="0" distB="0" distL="0" distR="0" wp14:anchorId="6033A3D7" wp14:editId="3821505D">
            <wp:extent cx="6309360" cy="5163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9"/>
                    <a:stretch>
                      <a:fillRect/>
                    </a:stretch>
                  </pic:blipFill>
                  <pic:spPr>
                    <a:xfrm>
                      <a:off x="0" y="0"/>
                      <a:ext cx="6309360" cy="5163782"/>
                    </a:xfrm>
                    <a:prstGeom prst="rect">
                      <a:avLst/>
                    </a:prstGeom>
                  </pic:spPr>
                </pic:pic>
              </a:graphicData>
            </a:graphic>
          </wp:inline>
        </w:drawing>
      </w:r>
    </w:p>
    <w:p w14:paraId="6A690BD2" w14:textId="77777777" w:rsidR="00B26C8C" w:rsidRDefault="00000000">
      <w:pPr>
        <w:spacing w:after="160"/>
        <w:jc w:val="center"/>
      </w:pPr>
      <w:r>
        <w:rPr>
          <w:i/>
          <w:color w:val="595959"/>
          <w:sz w:val="18"/>
        </w:rPr>
        <w:t>Figure 1. Correlation heatmap for all numeric variables in the seven-branch merged dataset.</w:t>
      </w:r>
    </w:p>
    <w:tbl>
      <w:tblPr>
        <w:tblW w:w="0" w:type="auto"/>
        <w:jc w:val="center"/>
        <w:tblLook w:val="04A0" w:firstRow="1" w:lastRow="0" w:firstColumn="1" w:lastColumn="0" w:noHBand="0" w:noVBand="1"/>
      </w:tblPr>
      <w:tblGrid>
        <w:gridCol w:w="3357"/>
        <w:gridCol w:w="3356"/>
        <w:gridCol w:w="3357"/>
      </w:tblGrid>
      <w:tr w:rsidR="00B26C8C" w14:paraId="641E7B4A" w14:textId="77777777">
        <w:trPr>
          <w:jc w:val="center"/>
        </w:trPr>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5AF757CC" w14:textId="77777777" w:rsidR="00B26C8C" w:rsidRDefault="00000000">
            <w:pPr>
              <w:spacing w:after="0"/>
            </w:pPr>
            <w:r>
              <w:rPr>
                <w:b/>
                <w:color w:val="FFFFFF"/>
                <w:sz w:val="17"/>
              </w:rPr>
              <w:t>Variable</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5DF00526" w14:textId="77777777" w:rsidR="00B26C8C" w:rsidRDefault="00000000">
            <w:pPr>
              <w:spacing w:after="0"/>
            </w:pPr>
            <w:r>
              <w:rPr>
                <w:b/>
                <w:color w:val="FFFFFF"/>
                <w:sz w:val="17"/>
              </w:rPr>
              <w:t>Correlation with quantity</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5C026D0D" w14:textId="77777777" w:rsidR="00B26C8C" w:rsidRDefault="00000000">
            <w:pPr>
              <w:spacing w:after="0"/>
            </w:pPr>
            <w:r>
              <w:rPr>
                <w:b/>
                <w:color w:val="FFFFFF"/>
                <w:sz w:val="17"/>
              </w:rPr>
              <w:t>Interpretation</w:t>
            </w:r>
          </w:p>
        </w:tc>
      </w:tr>
      <w:tr w:rsidR="00B26C8C" w14:paraId="14362DB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006CB17C" w14:textId="77777777" w:rsidR="00B26C8C" w:rsidRDefault="00000000">
            <w:pPr>
              <w:spacing w:after="0"/>
            </w:pPr>
            <w:r>
              <w:rPr>
                <w:sz w:val="17"/>
              </w:rPr>
              <w:t>qty_roll_15</w:t>
            </w:r>
          </w:p>
        </w:tc>
        <w:tc>
          <w:tcPr>
            <w:tcW w:w="3360" w:type="dxa"/>
            <w:tcBorders>
              <w:top w:val="single" w:sz="4" w:space="0" w:color="D9E2F3"/>
              <w:left w:val="single" w:sz="4" w:space="0" w:color="D9E2F3"/>
              <w:bottom w:val="single" w:sz="4" w:space="0" w:color="D9E2F3"/>
              <w:right w:val="single" w:sz="4" w:space="0" w:color="D9E2F3"/>
            </w:tcBorders>
            <w:vAlign w:val="center"/>
          </w:tcPr>
          <w:p w14:paraId="64E18F3A" w14:textId="77777777" w:rsidR="00B26C8C" w:rsidRDefault="00000000">
            <w:pPr>
              <w:spacing w:after="0"/>
            </w:pPr>
            <w:r>
              <w:rPr>
                <w:sz w:val="17"/>
              </w:rPr>
              <w:t>0.7109</w:t>
            </w:r>
          </w:p>
        </w:tc>
        <w:tc>
          <w:tcPr>
            <w:tcW w:w="3360" w:type="dxa"/>
            <w:tcBorders>
              <w:top w:val="single" w:sz="4" w:space="0" w:color="D9E2F3"/>
              <w:left w:val="single" w:sz="4" w:space="0" w:color="D9E2F3"/>
              <w:bottom w:val="single" w:sz="4" w:space="0" w:color="D9E2F3"/>
              <w:right w:val="single" w:sz="4" w:space="0" w:color="D9E2F3"/>
            </w:tcBorders>
            <w:vAlign w:val="center"/>
          </w:tcPr>
          <w:p w14:paraId="3C409237" w14:textId="77777777" w:rsidR="00B26C8C" w:rsidRDefault="00000000">
            <w:pPr>
              <w:spacing w:after="0"/>
            </w:pPr>
            <w:r>
              <w:rPr>
                <w:sz w:val="17"/>
              </w:rPr>
              <w:t>Strongest linear association with current sales quantity.</w:t>
            </w:r>
          </w:p>
        </w:tc>
      </w:tr>
      <w:tr w:rsidR="00B26C8C" w14:paraId="59472CE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7D855265" w14:textId="77777777" w:rsidR="00B26C8C" w:rsidRDefault="00000000">
            <w:pPr>
              <w:spacing w:after="0"/>
            </w:pPr>
            <w:r>
              <w:rPr>
                <w:sz w:val="17"/>
              </w:rPr>
              <w:t>qty_roll_30</w:t>
            </w:r>
          </w:p>
        </w:tc>
        <w:tc>
          <w:tcPr>
            <w:tcW w:w="3360" w:type="dxa"/>
            <w:tcBorders>
              <w:top w:val="single" w:sz="4" w:space="0" w:color="D9E2F3"/>
              <w:left w:val="single" w:sz="4" w:space="0" w:color="D9E2F3"/>
              <w:bottom w:val="single" w:sz="4" w:space="0" w:color="D9E2F3"/>
              <w:right w:val="single" w:sz="4" w:space="0" w:color="D9E2F3"/>
            </w:tcBorders>
            <w:vAlign w:val="center"/>
          </w:tcPr>
          <w:p w14:paraId="7EB6E95E" w14:textId="77777777" w:rsidR="00B26C8C" w:rsidRDefault="00000000">
            <w:pPr>
              <w:spacing w:after="0"/>
            </w:pPr>
            <w:r>
              <w:rPr>
                <w:sz w:val="17"/>
              </w:rPr>
              <w:t>0.7067</w:t>
            </w:r>
          </w:p>
        </w:tc>
        <w:tc>
          <w:tcPr>
            <w:tcW w:w="3360" w:type="dxa"/>
            <w:tcBorders>
              <w:top w:val="single" w:sz="4" w:space="0" w:color="D9E2F3"/>
              <w:left w:val="single" w:sz="4" w:space="0" w:color="D9E2F3"/>
              <w:bottom w:val="single" w:sz="4" w:space="0" w:color="D9E2F3"/>
              <w:right w:val="single" w:sz="4" w:space="0" w:color="D9E2F3"/>
            </w:tcBorders>
            <w:vAlign w:val="center"/>
          </w:tcPr>
          <w:p w14:paraId="4A23C4F1" w14:textId="77777777" w:rsidR="00B26C8C" w:rsidRDefault="00000000">
            <w:pPr>
              <w:spacing w:after="0"/>
            </w:pPr>
            <w:r>
              <w:rPr>
                <w:sz w:val="17"/>
              </w:rPr>
              <w:t>Recent monthly average demand is highly informative.</w:t>
            </w:r>
          </w:p>
        </w:tc>
      </w:tr>
      <w:tr w:rsidR="00B26C8C" w14:paraId="28F4CAB8"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A91EA6B" w14:textId="77777777" w:rsidR="00B26C8C" w:rsidRDefault="00000000">
            <w:pPr>
              <w:spacing w:after="0"/>
            </w:pPr>
            <w:r>
              <w:rPr>
                <w:sz w:val="17"/>
              </w:rPr>
              <w:t>qty_roll_60</w:t>
            </w:r>
          </w:p>
        </w:tc>
        <w:tc>
          <w:tcPr>
            <w:tcW w:w="3360" w:type="dxa"/>
            <w:tcBorders>
              <w:top w:val="single" w:sz="4" w:space="0" w:color="D9E2F3"/>
              <w:left w:val="single" w:sz="4" w:space="0" w:color="D9E2F3"/>
              <w:bottom w:val="single" w:sz="4" w:space="0" w:color="D9E2F3"/>
              <w:right w:val="single" w:sz="4" w:space="0" w:color="D9E2F3"/>
            </w:tcBorders>
            <w:vAlign w:val="center"/>
          </w:tcPr>
          <w:p w14:paraId="6ADAB833" w14:textId="77777777" w:rsidR="00B26C8C" w:rsidRDefault="00000000">
            <w:pPr>
              <w:spacing w:after="0"/>
            </w:pPr>
            <w:r>
              <w:rPr>
                <w:sz w:val="17"/>
              </w:rPr>
              <w:t>0.6972</w:t>
            </w:r>
          </w:p>
        </w:tc>
        <w:tc>
          <w:tcPr>
            <w:tcW w:w="3360" w:type="dxa"/>
            <w:tcBorders>
              <w:top w:val="single" w:sz="4" w:space="0" w:color="D9E2F3"/>
              <w:left w:val="single" w:sz="4" w:space="0" w:color="D9E2F3"/>
              <w:bottom w:val="single" w:sz="4" w:space="0" w:color="D9E2F3"/>
              <w:right w:val="single" w:sz="4" w:space="0" w:color="D9E2F3"/>
            </w:tcBorders>
            <w:vAlign w:val="center"/>
          </w:tcPr>
          <w:p w14:paraId="63D9789B" w14:textId="77777777" w:rsidR="00B26C8C" w:rsidRDefault="00000000">
            <w:pPr>
              <w:spacing w:after="0"/>
            </w:pPr>
            <w:r>
              <w:rPr>
                <w:sz w:val="17"/>
              </w:rPr>
              <w:t>Medium-term demand history remains relevant.</w:t>
            </w:r>
          </w:p>
        </w:tc>
      </w:tr>
      <w:tr w:rsidR="00B26C8C" w14:paraId="396F6246"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5211CAB6" w14:textId="77777777" w:rsidR="00B26C8C" w:rsidRDefault="00000000">
            <w:pPr>
              <w:spacing w:after="0"/>
            </w:pPr>
            <w:r>
              <w:rPr>
                <w:sz w:val="17"/>
              </w:rPr>
              <w:t>qty_roll_7</w:t>
            </w:r>
          </w:p>
        </w:tc>
        <w:tc>
          <w:tcPr>
            <w:tcW w:w="3360" w:type="dxa"/>
            <w:tcBorders>
              <w:top w:val="single" w:sz="4" w:space="0" w:color="D9E2F3"/>
              <w:left w:val="single" w:sz="4" w:space="0" w:color="D9E2F3"/>
              <w:bottom w:val="single" w:sz="4" w:space="0" w:color="D9E2F3"/>
              <w:right w:val="single" w:sz="4" w:space="0" w:color="D9E2F3"/>
            </w:tcBorders>
            <w:vAlign w:val="center"/>
          </w:tcPr>
          <w:p w14:paraId="0F9A881B" w14:textId="77777777" w:rsidR="00B26C8C" w:rsidRDefault="00000000">
            <w:pPr>
              <w:spacing w:after="0"/>
            </w:pPr>
            <w:r>
              <w:rPr>
                <w:sz w:val="17"/>
              </w:rPr>
              <w:t>0.6940</w:t>
            </w:r>
          </w:p>
        </w:tc>
        <w:tc>
          <w:tcPr>
            <w:tcW w:w="3360" w:type="dxa"/>
            <w:tcBorders>
              <w:top w:val="single" w:sz="4" w:space="0" w:color="D9E2F3"/>
              <w:left w:val="single" w:sz="4" w:space="0" w:color="D9E2F3"/>
              <w:bottom w:val="single" w:sz="4" w:space="0" w:color="D9E2F3"/>
              <w:right w:val="single" w:sz="4" w:space="0" w:color="D9E2F3"/>
            </w:tcBorders>
            <w:vAlign w:val="center"/>
          </w:tcPr>
          <w:p w14:paraId="36641B12" w14:textId="77777777" w:rsidR="00B26C8C" w:rsidRDefault="00000000">
            <w:pPr>
              <w:spacing w:after="0"/>
            </w:pPr>
            <w:r>
              <w:rPr>
                <w:sz w:val="17"/>
              </w:rPr>
              <w:t>Weekly demand pattern is important for bakery products.</w:t>
            </w:r>
          </w:p>
        </w:tc>
      </w:tr>
      <w:tr w:rsidR="00B26C8C" w14:paraId="686F614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0119DE04" w14:textId="77777777" w:rsidR="00B26C8C" w:rsidRDefault="00000000">
            <w:pPr>
              <w:spacing w:after="0"/>
            </w:pPr>
            <w:r>
              <w:rPr>
                <w:sz w:val="17"/>
              </w:rPr>
              <w:t>qty_roll_90</w:t>
            </w:r>
          </w:p>
        </w:tc>
        <w:tc>
          <w:tcPr>
            <w:tcW w:w="3360" w:type="dxa"/>
            <w:tcBorders>
              <w:top w:val="single" w:sz="4" w:space="0" w:color="D9E2F3"/>
              <w:left w:val="single" w:sz="4" w:space="0" w:color="D9E2F3"/>
              <w:bottom w:val="single" w:sz="4" w:space="0" w:color="D9E2F3"/>
              <w:right w:val="single" w:sz="4" w:space="0" w:color="D9E2F3"/>
            </w:tcBorders>
            <w:vAlign w:val="center"/>
          </w:tcPr>
          <w:p w14:paraId="5866F6F9" w14:textId="77777777" w:rsidR="00B26C8C" w:rsidRDefault="00000000">
            <w:pPr>
              <w:spacing w:after="0"/>
            </w:pPr>
            <w:r>
              <w:rPr>
                <w:sz w:val="17"/>
              </w:rPr>
              <w:t>0.6881</w:t>
            </w:r>
          </w:p>
        </w:tc>
        <w:tc>
          <w:tcPr>
            <w:tcW w:w="3360" w:type="dxa"/>
            <w:tcBorders>
              <w:top w:val="single" w:sz="4" w:space="0" w:color="D9E2F3"/>
              <w:left w:val="single" w:sz="4" w:space="0" w:color="D9E2F3"/>
              <w:bottom w:val="single" w:sz="4" w:space="0" w:color="D9E2F3"/>
              <w:right w:val="single" w:sz="4" w:space="0" w:color="D9E2F3"/>
            </w:tcBorders>
            <w:vAlign w:val="center"/>
          </w:tcPr>
          <w:p w14:paraId="011D9F28" w14:textId="77777777" w:rsidR="00B26C8C" w:rsidRDefault="00000000">
            <w:pPr>
              <w:spacing w:after="0"/>
            </w:pPr>
            <w:r>
              <w:rPr>
                <w:sz w:val="17"/>
              </w:rPr>
              <w:t>Quarterly rolling behavior still provides signal.</w:t>
            </w:r>
          </w:p>
        </w:tc>
      </w:tr>
      <w:tr w:rsidR="00B26C8C" w14:paraId="257EAA8F"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3F4A16A" w14:textId="77777777" w:rsidR="00B26C8C" w:rsidRDefault="00000000">
            <w:pPr>
              <w:spacing w:after="0"/>
            </w:pPr>
            <w:r>
              <w:rPr>
                <w:sz w:val="17"/>
              </w:rPr>
              <w:t>qty_roll_1</w:t>
            </w:r>
          </w:p>
        </w:tc>
        <w:tc>
          <w:tcPr>
            <w:tcW w:w="3360" w:type="dxa"/>
            <w:tcBorders>
              <w:top w:val="single" w:sz="4" w:space="0" w:color="D9E2F3"/>
              <w:left w:val="single" w:sz="4" w:space="0" w:color="D9E2F3"/>
              <w:bottom w:val="single" w:sz="4" w:space="0" w:color="D9E2F3"/>
              <w:right w:val="single" w:sz="4" w:space="0" w:color="D9E2F3"/>
            </w:tcBorders>
            <w:vAlign w:val="center"/>
          </w:tcPr>
          <w:p w14:paraId="2AE127AA" w14:textId="77777777" w:rsidR="00B26C8C" w:rsidRDefault="00000000">
            <w:pPr>
              <w:spacing w:after="0"/>
            </w:pPr>
            <w:r>
              <w:rPr>
                <w:sz w:val="17"/>
              </w:rPr>
              <w:t>0.5437</w:t>
            </w:r>
          </w:p>
        </w:tc>
        <w:tc>
          <w:tcPr>
            <w:tcW w:w="3360" w:type="dxa"/>
            <w:tcBorders>
              <w:top w:val="single" w:sz="4" w:space="0" w:color="D9E2F3"/>
              <w:left w:val="single" w:sz="4" w:space="0" w:color="D9E2F3"/>
              <w:bottom w:val="single" w:sz="4" w:space="0" w:color="D9E2F3"/>
              <w:right w:val="single" w:sz="4" w:space="0" w:color="D9E2F3"/>
            </w:tcBorders>
            <w:vAlign w:val="center"/>
          </w:tcPr>
          <w:p w14:paraId="1ABB7B87" w14:textId="77777777" w:rsidR="00B26C8C" w:rsidRDefault="00000000">
            <w:pPr>
              <w:spacing w:after="0"/>
            </w:pPr>
            <w:r>
              <w:rPr>
                <w:sz w:val="17"/>
              </w:rPr>
              <w:t>Prior-day demand has moderate predictive value.</w:t>
            </w:r>
          </w:p>
        </w:tc>
      </w:tr>
      <w:tr w:rsidR="00B26C8C" w14:paraId="1A85CD7D"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0761F27D" w14:textId="77777777" w:rsidR="00B26C8C" w:rsidRDefault="00000000">
            <w:pPr>
              <w:spacing w:after="0"/>
            </w:pPr>
            <w:r>
              <w:rPr>
                <w:sz w:val="17"/>
              </w:rPr>
              <w:t>sucursal_code</w:t>
            </w:r>
          </w:p>
        </w:tc>
        <w:tc>
          <w:tcPr>
            <w:tcW w:w="3360" w:type="dxa"/>
            <w:tcBorders>
              <w:top w:val="single" w:sz="4" w:space="0" w:color="D9E2F3"/>
              <w:left w:val="single" w:sz="4" w:space="0" w:color="D9E2F3"/>
              <w:bottom w:val="single" w:sz="4" w:space="0" w:color="D9E2F3"/>
              <w:right w:val="single" w:sz="4" w:space="0" w:color="D9E2F3"/>
            </w:tcBorders>
            <w:vAlign w:val="center"/>
          </w:tcPr>
          <w:p w14:paraId="53A06446" w14:textId="77777777" w:rsidR="00B26C8C" w:rsidRDefault="00000000">
            <w:pPr>
              <w:spacing w:after="0"/>
            </w:pPr>
            <w:r>
              <w:rPr>
                <w:sz w:val="17"/>
              </w:rPr>
              <w:t>0.0869</w:t>
            </w:r>
          </w:p>
        </w:tc>
        <w:tc>
          <w:tcPr>
            <w:tcW w:w="3360" w:type="dxa"/>
            <w:tcBorders>
              <w:top w:val="single" w:sz="4" w:space="0" w:color="D9E2F3"/>
              <w:left w:val="single" w:sz="4" w:space="0" w:color="D9E2F3"/>
              <w:bottom w:val="single" w:sz="4" w:space="0" w:color="D9E2F3"/>
              <w:right w:val="single" w:sz="4" w:space="0" w:color="D9E2F3"/>
            </w:tcBorders>
            <w:vAlign w:val="center"/>
          </w:tcPr>
          <w:p w14:paraId="4B33BA7B" w14:textId="77777777" w:rsidR="00B26C8C" w:rsidRDefault="00000000">
            <w:pPr>
              <w:spacing w:after="0"/>
            </w:pPr>
            <w:r>
              <w:rPr>
                <w:sz w:val="17"/>
              </w:rPr>
              <w:t>Branch code has weak direct linear association.</w:t>
            </w:r>
          </w:p>
        </w:tc>
      </w:tr>
      <w:tr w:rsidR="00B26C8C" w14:paraId="44F53DE4"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A28EEDB" w14:textId="77777777" w:rsidR="00B26C8C" w:rsidRDefault="00000000">
            <w:pPr>
              <w:spacing w:after="0"/>
            </w:pPr>
            <w:r>
              <w:rPr>
                <w:sz w:val="17"/>
              </w:rPr>
              <w:t>is_warm</w:t>
            </w:r>
          </w:p>
        </w:tc>
        <w:tc>
          <w:tcPr>
            <w:tcW w:w="3360" w:type="dxa"/>
            <w:tcBorders>
              <w:top w:val="single" w:sz="4" w:space="0" w:color="D9E2F3"/>
              <w:left w:val="single" w:sz="4" w:space="0" w:color="D9E2F3"/>
              <w:bottom w:val="single" w:sz="4" w:space="0" w:color="D9E2F3"/>
              <w:right w:val="single" w:sz="4" w:space="0" w:color="D9E2F3"/>
            </w:tcBorders>
            <w:vAlign w:val="center"/>
          </w:tcPr>
          <w:p w14:paraId="2F60151C" w14:textId="77777777" w:rsidR="00B26C8C" w:rsidRDefault="00000000">
            <w:pPr>
              <w:spacing w:after="0"/>
            </w:pPr>
            <w:r>
              <w:rPr>
                <w:sz w:val="17"/>
              </w:rPr>
              <w:t>0.0263</w:t>
            </w:r>
          </w:p>
        </w:tc>
        <w:tc>
          <w:tcPr>
            <w:tcW w:w="3360" w:type="dxa"/>
            <w:tcBorders>
              <w:top w:val="single" w:sz="4" w:space="0" w:color="D9E2F3"/>
              <w:left w:val="single" w:sz="4" w:space="0" w:color="D9E2F3"/>
              <w:bottom w:val="single" w:sz="4" w:space="0" w:color="D9E2F3"/>
              <w:right w:val="single" w:sz="4" w:space="0" w:color="D9E2F3"/>
            </w:tcBorders>
            <w:vAlign w:val="center"/>
          </w:tcPr>
          <w:p w14:paraId="1416ACF0" w14:textId="77777777" w:rsidR="00B26C8C" w:rsidRDefault="00000000">
            <w:pPr>
              <w:spacing w:after="0"/>
            </w:pPr>
            <w:r>
              <w:rPr>
                <w:sz w:val="17"/>
              </w:rPr>
              <w:t>Warm weather alone has weak direct linear correlation.</w:t>
            </w:r>
          </w:p>
        </w:tc>
      </w:tr>
      <w:tr w:rsidR="00B26C8C" w14:paraId="300C11E0"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0F543158" w14:textId="77777777" w:rsidR="00B26C8C" w:rsidRDefault="00000000">
            <w:pPr>
              <w:spacing w:after="0"/>
            </w:pPr>
            <w:r>
              <w:rPr>
                <w:sz w:val="17"/>
              </w:rPr>
              <w:t>day_of_week</w:t>
            </w:r>
          </w:p>
        </w:tc>
        <w:tc>
          <w:tcPr>
            <w:tcW w:w="3360" w:type="dxa"/>
            <w:tcBorders>
              <w:top w:val="single" w:sz="4" w:space="0" w:color="D9E2F3"/>
              <w:left w:val="single" w:sz="4" w:space="0" w:color="D9E2F3"/>
              <w:bottom w:val="single" w:sz="4" w:space="0" w:color="D9E2F3"/>
              <w:right w:val="single" w:sz="4" w:space="0" w:color="D9E2F3"/>
            </w:tcBorders>
            <w:vAlign w:val="center"/>
          </w:tcPr>
          <w:p w14:paraId="2BF5A475" w14:textId="77777777" w:rsidR="00B26C8C" w:rsidRDefault="00000000">
            <w:pPr>
              <w:spacing w:after="0"/>
            </w:pPr>
            <w:r>
              <w:rPr>
                <w:sz w:val="17"/>
              </w:rPr>
              <w:t>0.0257</w:t>
            </w:r>
          </w:p>
        </w:tc>
        <w:tc>
          <w:tcPr>
            <w:tcW w:w="3360" w:type="dxa"/>
            <w:tcBorders>
              <w:top w:val="single" w:sz="4" w:space="0" w:color="D9E2F3"/>
              <w:left w:val="single" w:sz="4" w:space="0" w:color="D9E2F3"/>
              <w:bottom w:val="single" w:sz="4" w:space="0" w:color="D9E2F3"/>
              <w:right w:val="single" w:sz="4" w:space="0" w:color="D9E2F3"/>
            </w:tcBorders>
            <w:vAlign w:val="center"/>
          </w:tcPr>
          <w:p w14:paraId="09B2EBC8" w14:textId="77777777" w:rsidR="00B26C8C" w:rsidRDefault="00000000">
            <w:pPr>
              <w:spacing w:after="0"/>
            </w:pPr>
            <w:r>
              <w:rPr>
                <w:sz w:val="17"/>
              </w:rPr>
              <w:t>Day of week may matter non-linearly or through branch/product interactions.</w:t>
            </w:r>
          </w:p>
        </w:tc>
      </w:tr>
      <w:tr w:rsidR="00B26C8C" w14:paraId="2C6FCAAB"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5A169D62" w14:textId="77777777" w:rsidR="00B26C8C" w:rsidRDefault="00000000">
            <w:pPr>
              <w:spacing w:after="0"/>
            </w:pPr>
            <w:r>
              <w:rPr>
                <w:sz w:val="17"/>
              </w:rPr>
              <w:t>tavg</w:t>
            </w:r>
          </w:p>
        </w:tc>
        <w:tc>
          <w:tcPr>
            <w:tcW w:w="3360" w:type="dxa"/>
            <w:tcBorders>
              <w:top w:val="single" w:sz="4" w:space="0" w:color="D9E2F3"/>
              <w:left w:val="single" w:sz="4" w:space="0" w:color="D9E2F3"/>
              <w:bottom w:val="single" w:sz="4" w:space="0" w:color="D9E2F3"/>
              <w:right w:val="single" w:sz="4" w:space="0" w:color="D9E2F3"/>
            </w:tcBorders>
            <w:vAlign w:val="center"/>
          </w:tcPr>
          <w:p w14:paraId="30A09EBB" w14:textId="77777777" w:rsidR="00B26C8C" w:rsidRDefault="00000000">
            <w:pPr>
              <w:spacing w:after="0"/>
            </w:pPr>
            <w:r>
              <w:rPr>
                <w:sz w:val="17"/>
              </w:rPr>
              <w:t>0.0184</w:t>
            </w:r>
          </w:p>
        </w:tc>
        <w:tc>
          <w:tcPr>
            <w:tcW w:w="3360" w:type="dxa"/>
            <w:tcBorders>
              <w:top w:val="single" w:sz="4" w:space="0" w:color="D9E2F3"/>
              <w:left w:val="single" w:sz="4" w:space="0" w:color="D9E2F3"/>
              <w:bottom w:val="single" w:sz="4" w:space="0" w:color="D9E2F3"/>
              <w:right w:val="single" w:sz="4" w:space="0" w:color="D9E2F3"/>
            </w:tcBorders>
            <w:vAlign w:val="center"/>
          </w:tcPr>
          <w:p w14:paraId="1CF63584" w14:textId="77777777" w:rsidR="00B26C8C" w:rsidRDefault="00000000">
            <w:pPr>
              <w:spacing w:after="0"/>
            </w:pPr>
            <w:r>
              <w:rPr>
                <w:sz w:val="17"/>
              </w:rPr>
              <w:t>Average temperature alone is not strongly linearly related to quantity.</w:t>
            </w:r>
          </w:p>
        </w:tc>
      </w:tr>
    </w:tbl>
    <w:p w14:paraId="57BEC10F" w14:textId="77777777" w:rsidR="00B26C8C" w:rsidRDefault="00000000">
      <w:pPr>
        <w:spacing w:after="160"/>
        <w:jc w:val="center"/>
      </w:pPr>
      <w:r>
        <w:rPr>
          <w:i/>
          <w:color w:val="595959"/>
          <w:sz w:val="18"/>
        </w:rPr>
        <w:t>Table 2. Top visible correlations with quantity from the notebook output.</w:t>
      </w:r>
    </w:p>
    <w:p w14:paraId="4C014C77" w14:textId="77777777" w:rsidR="00B26C8C" w:rsidRDefault="00000000">
      <w:r>
        <w:lastRenderedPageBreak/>
        <w:t>The heatmap clearly shows that the rolling quantity variables dominate the relationship with current sales. This is expected in demand forecasting: past demand usually captures product popularity, branch habits and weekly consumption patterns better than isolated calendar or weather variables. At the same time, many rolling variables are strongly correlated with one another, which creates multicollinearity in a simple linear regression model. For interpretability, this means their individual coefficients should not be overinterpreted as independent causal effects.</w:t>
      </w:r>
    </w:p>
    <w:p w14:paraId="68DF6046" w14:textId="77777777" w:rsidR="00B26C8C" w:rsidRDefault="00000000">
      <w:r>
        <w:t>The heatmap also shows redundancy among calendar variables: month and week_number are highly related, as are quarter and week_of_year. This is normal because these variables represent the same time axis at different levels of aggregation. For future models, one-hot encoding, regularization or tree-based methods would handle these relationships more safely than a basic linear model with ordinal encodings.</w:t>
      </w:r>
    </w:p>
    <w:p w14:paraId="5C7D3E9C" w14:textId="77777777" w:rsidR="00B26C8C" w:rsidRDefault="00000000">
      <w:pPr>
        <w:pStyle w:val="Heading1"/>
      </w:pPr>
      <w:r>
        <w:t>5. Selected Product: CONCHA VAINILLA</w:t>
      </w:r>
    </w:p>
    <w:p w14:paraId="4BD7D710" w14:textId="77777777" w:rsidR="00B26C8C" w:rsidRDefault="00000000">
      <w:r>
        <w:t>The notebook selected the top-selling product across all branches as the modeling target. This choice is statistically reasonable because a high-volume item contains more historical signal and is operationally relevant for production planning. The selected item was CONCHA VAINILLA, with 236,793 units sold and 8,130 rows in the selected product dataset.</w:t>
      </w:r>
    </w:p>
    <w:tbl>
      <w:tblPr>
        <w:tblW w:w="0" w:type="auto"/>
        <w:jc w:val="center"/>
        <w:tblLook w:val="04A0" w:firstRow="1" w:lastRow="0" w:firstColumn="1" w:lastColumn="0" w:noHBand="0" w:noVBand="1"/>
      </w:tblPr>
      <w:tblGrid>
        <w:gridCol w:w="3356"/>
        <w:gridCol w:w="3357"/>
        <w:gridCol w:w="3357"/>
      </w:tblGrid>
      <w:tr w:rsidR="00B26C8C" w14:paraId="3EEA68B7" w14:textId="77777777">
        <w:trPr>
          <w:jc w:val="center"/>
        </w:trPr>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32626C56" w14:textId="77777777" w:rsidR="00B26C8C" w:rsidRDefault="00000000">
            <w:pPr>
              <w:spacing w:after="0"/>
            </w:pPr>
            <w:r>
              <w:rPr>
                <w:b/>
                <w:color w:val="FFFFFF"/>
                <w:sz w:val="17"/>
              </w:rPr>
              <w:t>Rank</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04E2EBD3" w14:textId="77777777" w:rsidR="00B26C8C" w:rsidRDefault="00000000">
            <w:pPr>
              <w:spacing w:after="0"/>
            </w:pPr>
            <w:r>
              <w:rPr>
                <w:b/>
                <w:color w:val="FFFFFF"/>
                <w:sz w:val="17"/>
              </w:rPr>
              <w:t>Item</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107DA332" w14:textId="77777777" w:rsidR="00B26C8C" w:rsidRDefault="00000000">
            <w:pPr>
              <w:spacing w:after="0"/>
            </w:pPr>
            <w:r>
              <w:rPr>
                <w:b/>
                <w:color w:val="FFFFFF"/>
                <w:sz w:val="17"/>
              </w:rPr>
              <w:t>Total quantity</w:t>
            </w:r>
          </w:p>
        </w:tc>
      </w:tr>
      <w:tr w:rsidR="00B26C8C" w14:paraId="1AEE9009"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41C00D1F" w14:textId="77777777" w:rsidR="00B26C8C" w:rsidRDefault="00000000">
            <w:pPr>
              <w:spacing w:after="0"/>
            </w:pPr>
            <w:r>
              <w:rPr>
                <w:sz w:val="17"/>
              </w:rPr>
              <w:t>1</w:t>
            </w:r>
          </w:p>
        </w:tc>
        <w:tc>
          <w:tcPr>
            <w:tcW w:w="3360" w:type="dxa"/>
            <w:tcBorders>
              <w:top w:val="single" w:sz="4" w:space="0" w:color="D9E2F3"/>
              <w:left w:val="single" w:sz="4" w:space="0" w:color="D9E2F3"/>
              <w:bottom w:val="single" w:sz="4" w:space="0" w:color="D9E2F3"/>
              <w:right w:val="single" w:sz="4" w:space="0" w:color="D9E2F3"/>
            </w:tcBorders>
            <w:vAlign w:val="center"/>
          </w:tcPr>
          <w:p w14:paraId="7FC43387" w14:textId="77777777" w:rsidR="00B26C8C" w:rsidRDefault="00000000">
            <w:pPr>
              <w:spacing w:after="0"/>
            </w:pPr>
            <w:r>
              <w:rPr>
                <w:sz w:val="17"/>
              </w:rPr>
              <w:t>CONCHA VAINILLA</w:t>
            </w:r>
          </w:p>
        </w:tc>
        <w:tc>
          <w:tcPr>
            <w:tcW w:w="3360" w:type="dxa"/>
            <w:tcBorders>
              <w:top w:val="single" w:sz="4" w:space="0" w:color="D9E2F3"/>
              <w:left w:val="single" w:sz="4" w:space="0" w:color="D9E2F3"/>
              <w:bottom w:val="single" w:sz="4" w:space="0" w:color="D9E2F3"/>
              <w:right w:val="single" w:sz="4" w:space="0" w:color="D9E2F3"/>
            </w:tcBorders>
            <w:vAlign w:val="center"/>
          </w:tcPr>
          <w:p w14:paraId="24F9B702" w14:textId="77777777" w:rsidR="00B26C8C" w:rsidRDefault="00000000">
            <w:pPr>
              <w:spacing w:after="0"/>
            </w:pPr>
            <w:r>
              <w:rPr>
                <w:sz w:val="17"/>
              </w:rPr>
              <w:t>236,793</w:t>
            </w:r>
          </w:p>
        </w:tc>
      </w:tr>
      <w:tr w:rsidR="00B26C8C" w14:paraId="23C2B0B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4D18679C" w14:textId="77777777" w:rsidR="00B26C8C" w:rsidRDefault="00000000">
            <w:pPr>
              <w:spacing w:after="0"/>
            </w:pPr>
            <w:r>
              <w:rPr>
                <w:sz w:val="17"/>
              </w:rPr>
              <w:t>2</w:t>
            </w:r>
          </w:p>
        </w:tc>
        <w:tc>
          <w:tcPr>
            <w:tcW w:w="3360" w:type="dxa"/>
            <w:tcBorders>
              <w:top w:val="single" w:sz="4" w:space="0" w:color="D9E2F3"/>
              <w:left w:val="single" w:sz="4" w:space="0" w:color="D9E2F3"/>
              <w:bottom w:val="single" w:sz="4" w:space="0" w:color="D9E2F3"/>
              <w:right w:val="single" w:sz="4" w:space="0" w:color="D9E2F3"/>
            </w:tcBorders>
            <w:vAlign w:val="center"/>
          </w:tcPr>
          <w:p w14:paraId="3C4BAA4F" w14:textId="77777777" w:rsidR="00B26C8C" w:rsidRDefault="00000000">
            <w:pPr>
              <w:spacing w:after="0"/>
            </w:pPr>
            <w:r>
              <w:rPr>
                <w:sz w:val="17"/>
              </w:rPr>
              <w:t>CONCHA CHOCOLATE</w:t>
            </w:r>
          </w:p>
        </w:tc>
        <w:tc>
          <w:tcPr>
            <w:tcW w:w="3360" w:type="dxa"/>
            <w:tcBorders>
              <w:top w:val="single" w:sz="4" w:space="0" w:color="D9E2F3"/>
              <w:left w:val="single" w:sz="4" w:space="0" w:color="D9E2F3"/>
              <w:bottom w:val="single" w:sz="4" w:space="0" w:color="D9E2F3"/>
              <w:right w:val="single" w:sz="4" w:space="0" w:color="D9E2F3"/>
            </w:tcBorders>
            <w:vAlign w:val="center"/>
          </w:tcPr>
          <w:p w14:paraId="3DD15BFC" w14:textId="77777777" w:rsidR="00B26C8C" w:rsidRDefault="00000000">
            <w:pPr>
              <w:spacing w:after="0"/>
            </w:pPr>
            <w:r>
              <w:rPr>
                <w:sz w:val="17"/>
              </w:rPr>
              <w:t>103,110</w:t>
            </w:r>
          </w:p>
        </w:tc>
      </w:tr>
      <w:tr w:rsidR="00B26C8C" w14:paraId="2BF28BC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7F02DC22" w14:textId="77777777" w:rsidR="00B26C8C" w:rsidRDefault="00000000">
            <w:pPr>
              <w:spacing w:after="0"/>
            </w:pPr>
            <w:r>
              <w:rPr>
                <w:sz w:val="17"/>
              </w:rPr>
              <w:t>3</w:t>
            </w:r>
          </w:p>
        </w:tc>
        <w:tc>
          <w:tcPr>
            <w:tcW w:w="3360" w:type="dxa"/>
            <w:tcBorders>
              <w:top w:val="single" w:sz="4" w:space="0" w:color="D9E2F3"/>
              <w:left w:val="single" w:sz="4" w:space="0" w:color="D9E2F3"/>
              <w:bottom w:val="single" w:sz="4" w:space="0" w:color="D9E2F3"/>
              <w:right w:val="single" w:sz="4" w:space="0" w:color="D9E2F3"/>
            </w:tcBorders>
            <w:vAlign w:val="center"/>
          </w:tcPr>
          <w:p w14:paraId="2BC3FB44" w14:textId="77777777" w:rsidR="00B26C8C" w:rsidRDefault="00000000">
            <w:pPr>
              <w:spacing w:after="0"/>
            </w:pPr>
            <w:r>
              <w:rPr>
                <w:sz w:val="17"/>
              </w:rPr>
              <w:t>CHILAQUILES PANEM</w:t>
            </w:r>
          </w:p>
        </w:tc>
        <w:tc>
          <w:tcPr>
            <w:tcW w:w="3360" w:type="dxa"/>
            <w:tcBorders>
              <w:top w:val="single" w:sz="4" w:space="0" w:color="D9E2F3"/>
              <w:left w:val="single" w:sz="4" w:space="0" w:color="D9E2F3"/>
              <w:bottom w:val="single" w:sz="4" w:space="0" w:color="D9E2F3"/>
              <w:right w:val="single" w:sz="4" w:space="0" w:color="D9E2F3"/>
            </w:tcBorders>
            <w:vAlign w:val="center"/>
          </w:tcPr>
          <w:p w14:paraId="188B1D5F" w14:textId="77777777" w:rsidR="00B26C8C" w:rsidRDefault="00000000">
            <w:pPr>
              <w:spacing w:after="0"/>
            </w:pPr>
            <w:r>
              <w:rPr>
                <w:sz w:val="17"/>
              </w:rPr>
              <w:t>88,993</w:t>
            </w:r>
          </w:p>
        </w:tc>
      </w:tr>
      <w:tr w:rsidR="00B26C8C" w14:paraId="65CA09DD"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2E9D320" w14:textId="77777777" w:rsidR="00B26C8C" w:rsidRDefault="00000000">
            <w:pPr>
              <w:spacing w:after="0"/>
            </w:pPr>
            <w:r>
              <w:rPr>
                <w:sz w:val="17"/>
              </w:rPr>
              <w:t>4</w:t>
            </w:r>
          </w:p>
        </w:tc>
        <w:tc>
          <w:tcPr>
            <w:tcW w:w="3360" w:type="dxa"/>
            <w:tcBorders>
              <w:top w:val="single" w:sz="4" w:space="0" w:color="D9E2F3"/>
              <w:left w:val="single" w:sz="4" w:space="0" w:color="D9E2F3"/>
              <w:bottom w:val="single" w:sz="4" w:space="0" w:color="D9E2F3"/>
              <w:right w:val="single" w:sz="4" w:space="0" w:color="D9E2F3"/>
            </w:tcBorders>
            <w:vAlign w:val="center"/>
          </w:tcPr>
          <w:p w14:paraId="2F552713" w14:textId="77777777" w:rsidR="00B26C8C" w:rsidRDefault="00000000">
            <w:pPr>
              <w:spacing w:after="0"/>
            </w:pPr>
            <w:r>
              <w:rPr>
                <w:sz w:val="17"/>
              </w:rPr>
              <w:t>CROISSANT ALMENDRAS</w:t>
            </w:r>
          </w:p>
        </w:tc>
        <w:tc>
          <w:tcPr>
            <w:tcW w:w="3360" w:type="dxa"/>
            <w:tcBorders>
              <w:top w:val="single" w:sz="4" w:space="0" w:color="D9E2F3"/>
              <w:left w:val="single" w:sz="4" w:space="0" w:color="D9E2F3"/>
              <w:bottom w:val="single" w:sz="4" w:space="0" w:color="D9E2F3"/>
              <w:right w:val="single" w:sz="4" w:space="0" w:color="D9E2F3"/>
            </w:tcBorders>
            <w:vAlign w:val="center"/>
          </w:tcPr>
          <w:p w14:paraId="70C8E36F" w14:textId="77777777" w:rsidR="00B26C8C" w:rsidRDefault="00000000">
            <w:pPr>
              <w:spacing w:after="0"/>
            </w:pPr>
            <w:r>
              <w:rPr>
                <w:sz w:val="17"/>
              </w:rPr>
              <w:t>56,566</w:t>
            </w:r>
          </w:p>
        </w:tc>
      </w:tr>
      <w:tr w:rsidR="00B26C8C" w14:paraId="4441433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2E95CE6" w14:textId="77777777" w:rsidR="00B26C8C" w:rsidRDefault="00000000">
            <w:pPr>
              <w:spacing w:after="0"/>
            </w:pPr>
            <w:r>
              <w:rPr>
                <w:sz w:val="17"/>
              </w:rPr>
              <w:t>5</w:t>
            </w:r>
          </w:p>
        </w:tc>
        <w:tc>
          <w:tcPr>
            <w:tcW w:w="3360" w:type="dxa"/>
            <w:tcBorders>
              <w:top w:val="single" w:sz="4" w:space="0" w:color="D9E2F3"/>
              <w:left w:val="single" w:sz="4" w:space="0" w:color="D9E2F3"/>
              <w:bottom w:val="single" w:sz="4" w:space="0" w:color="D9E2F3"/>
              <w:right w:val="single" w:sz="4" w:space="0" w:color="D9E2F3"/>
            </w:tcBorders>
            <w:vAlign w:val="center"/>
          </w:tcPr>
          <w:p w14:paraId="1D9D8F77" w14:textId="77777777" w:rsidR="00B26C8C" w:rsidRDefault="00000000">
            <w:pPr>
              <w:spacing w:after="0"/>
            </w:pPr>
            <w:r>
              <w:rPr>
                <w:sz w:val="17"/>
              </w:rPr>
              <w:t>PAIN AU CHOCOLAT</w:t>
            </w:r>
          </w:p>
        </w:tc>
        <w:tc>
          <w:tcPr>
            <w:tcW w:w="3360" w:type="dxa"/>
            <w:tcBorders>
              <w:top w:val="single" w:sz="4" w:space="0" w:color="D9E2F3"/>
              <w:left w:val="single" w:sz="4" w:space="0" w:color="D9E2F3"/>
              <w:bottom w:val="single" w:sz="4" w:space="0" w:color="D9E2F3"/>
              <w:right w:val="single" w:sz="4" w:space="0" w:color="D9E2F3"/>
            </w:tcBorders>
            <w:vAlign w:val="center"/>
          </w:tcPr>
          <w:p w14:paraId="40958CA4" w14:textId="77777777" w:rsidR="00B26C8C" w:rsidRDefault="00000000">
            <w:pPr>
              <w:spacing w:after="0"/>
            </w:pPr>
            <w:r>
              <w:rPr>
                <w:sz w:val="17"/>
              </w:rPr>
              <w:t>49,020</w:t>
            </w:r>
          </w:p>
        </w:tc>
      </w:tr>
      <w:tr w:rsidR="00B26C8C" w14:paraId="62E5786D"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6BBCA48" w14:textId="77777777" w:rsidR="00B26C8C" w:rsidRDefault="00000000">
            <w:pPr>
              <w:spacing w:after="0"/>
            </w:pPr>
            <w:r>
              <w:rPr>
                <w:sz w:val="17"/>
              </w:rPr>
              <w:t>6</w:t>
            </w:r>
          </w:p>
        </w:tc>
        <w:tc>
          <w:tcPr>
            <w:tcW w:w="3360" w:type="dxa"/>
            <w:tcBorders>
              <w:top w:val="single" w:sz="4" w:space="0" w:color="D9E2F3"/>
              <w:left w:val="single" w:sz="4" w:space="0" w:color="D9E2F3"/>
              <w:bottom w:val="single" w:sz="4" w:space="0" w:color="D9E2F3"/>
              <w:right w:val="single" w:sz="4" w:space="0" w:color="D9E2F3"/>
            </w:tcBorders>
            <w:vAlign w:val="center"/>
          </w:tcPr>
          <w:p w14:paraId="3D4BDBF6" w14:textId="77777777" w:rsidR="00B26C8C" w:rsidRDefault="00000000">
            <w:pPr>
              <w:spacing w:after="0"/>
            </w:pPr>
            <w:r>
              <w:rPr>
                <w:sz w:val="17"/>
              </w:rPr>
              <w:t>MUFFIN BLUEBERRY</w:t>
            </w:r>
          </w:p>
        </w:tc>
        <w:tc>
          <w:tcPr>
            <w:tcW w:w="3360" w:type="dxa"/>
            <w:tcBorders>
              <w:top w:val="single" w:sz="4" w:space="0" w:color="D9E2F3"/>
              <w:left w:val="single" w:sz="4" w:space="0" w:color="D9E2F3"/>
              <w:bottom w:val="single" w:sz="4" w:space="0" w:color="D9E2F3"/>
              <w:right w:val="single" w:sz="4" w:space="0" w:color="D9E2F3"/>
            </w:tcBorders>
            <w:vAlign w:val="center"/>
          </w:tcPr>
          <w:p w14:paraId="224241DD" w14:textId="77777777" w:rsidR="00B26C8C" w:rsidRDefault="00000000">
            <w:pPr>
              <w:spacing w:after="0"/>
            </w:pPr>
            <w:r>
              <w:rPr>
                <w:sz w:val="17"/>
              </w:rPr>
              <w:t>44,485</w:t>
            </w:r>
          </w:p>
        </w:tc>
      </w:tr>
      <w:tr w:rsidR="00B26C8C" w14:paraId="0620B780"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849CFD5" w14:textId="77777777" w:rsidR="00B26C8C" w:rsidRDefault="00000000">
            <w:pPr>
              <w:spacing w:after="0"/>
            </w:pPr>
            <w:r>
              <w:rPr>
                <w:sz w:val="17"/>
              </w:rPr>
              <w:t>7</w:t>
            </w:r>
          </w:p>
        </w:tc>
        <w:tc>
          <w:tcPr>
            <w:tcW w:w="3360" w:type="dxa"/>
            <w:tcBorders>
              <w:top w:val="single" w:sz="4" w:space="0" w:color="D9E2F3"/>
              <w:left w:val="single" w:sz="4" w:space="0" w:color="D9E2F3"/>
              <w:bottom w:val="single" w:sz="4" w:space="0" w:color="D9E2F3"/>
              <w:right w:val="single" w:sz="4" w:space="0" w:color="D9E2F3"/>
            </w:tcBorders>
            <w:vAlign w:val="center"/>
          </w:tcPr>
          <w:p w14:paraId="62B6D6E0" w14:textId="77777777" w:rsidR="00B26C8C" w:rsidRDefault="00000000">
            <w:pPr>
              <w:spacing w:after="0"/>
            </w:pPr>
            <w:r>
              <w:rPr>
                <w:sz w:val="17"/>
              </w:rPr>
              <w:t>GALLETA DE AVENA</w:t>
            </w:r>
          </w:p>
        </w:tc>
        <w:tc>
          <w:tcPr>
            <w:tcW w:w="3360" w:type="dxa"/>
            <w:tcBorders>
              <w:top w:val="single" w:sz="4" w:space="0" w:color="D9E2F3"/>
              <w:left w:val="single" w:sz="4" w:space="0" w:color="D9E2F3"/>
              <w:bottom w:val="single" w:sz="4" w:space="0" w:color="D9E2F3"/>
              <w:right w:val="single" w:sz="4" w:space="0" w:color="D9E2F3"/>
            </w:tcBorders>
            <w:vAlign w:val="center"/>
          </w:tcPr>
          <w:p w14:paraId="1B5E2791" w14:textId="77777777" w:rsidR="00B26C8C" w:rsidRDefault="00000000">
            <w:pPr>
              <w:spacing w:after="0"/>
            </w:pPr>
            <w:r>
              <w:rPr>
                <w:sz w:val="17"/>
              </w:rPr>
              <w:t>41,473</w:t>
            </w:r>
          </w:p>
        </w:tc>
      </w:tr>
      <w:tr w:rsidR="00B26C8C" w14:paraId="1B64C0F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302C6A77" w14:textId="77777777" w:rsidR="00B26C8C" w:rsidRDefault="00000000">
            <w:pPr>
              <w:spacing w:after="0"/>
            </w:pPr>
            <w:r>
              <w:rPr>
                <w:sz w:val="17"/>
              </w:rPr>
              <w:t>8</w:t>
            </w:r>
          </w:p>
        </w:tc>
        <w:tc>
          <w:tcPr>
            <w:tcW w:w="3360" w:type="dxa"/>
            <w:tcBorders>
              <w:top w:val="single" w:sz="4" w:space="0" w:color="D9E2F3"/>
              <w:left w:val="single" w:sz="4" w:space="0" w:color="D9E2F3"/>
              <w:bottom w:val="single" w:sz="4" w:space="0" w:color="D9E2F3"/>
              <w:right w:val="single" w:sz="4" w:space="0" w:color="D9E2F3"/>
            </w:tcBorders>
            <w:vAlign w:val="center"/>
          </w:tcPr>
          <w:p w14:paraId="32FD1D37" w14:textId="77777777" w:rsidR="00B26C8C" w:rsidRDefault="00000000">
            <w:pPr>
              <w:spacing w:after="0"/>
            </w:pPr>
            <w:r>
              <w:rPr>
                <w:sz w:val="17"/>
              </w:rPr>
              <w:t>ROL DE CANELA</w:t>
            </w:r>
          </w:p>
        </w:tc>
        <w:tc>
          <w:tcPr>
            <w:tcW w:w="3360" w:type="dxa"/>
            <w:tcBorders>
              <w:top w:val="single" w:sz="4" w:space="0" w:color="D9E2F3"/>
              <w:left w:val="single" w:sz="4" w:space="0" w:color="D9E2F3"/>
              <w:bottom w:val="single" w:sz="4" w:space="0" w:color="D9E2F3"/>
              <w:right w:val="single" w:sz="4" w:space="0" w:color="D9E2F3"/>
            </w:tcBorders>
            <w:vAlign w:val="center"/>
          </w:tcPr>
          <w:p w14:paraId="3356937C" w14:textId="77777777" w:rsidR="00B26C8C" w:rsidRDefault="00000000">
            <w:pPr>
              <w:spacing w:after="0"/>
            </w:pPr>
            <w:r>
              <w:rPr>
                <w:sz w:val="17"/>
              </w:rPr>
              <w:t>41,166</w:t>
            </w:r>
          </w:p>
        </w:tc>
      </w:tr>
      <w:tr w:rsidR="00B26C8C" w14:paraId="4C4AA11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034C3B39" w14:textId="77777777" w:rsidR="00B26C8C" w:rsidRDefault="00000000">
            <w:pPr>
              <w:spacing w:after="0"/>
            </w:pPr>
            <w:r>
              <w:rPr>
                <w:sz w:val="17"/>
              </w:rPr>
              <w:t>9</w:t>
            </w:r>
          </w:p>
        </w:tc>
        <w:tc>
          <w:tcPr>
            <w:tcW w:w="3360" w:type="dxa"/>
            <w:tcBorders>
              <w:top w:val="single" w:sz="4" w:space="0" w:color="D9E2F3"/>
              <w:left w:val="single" w:sz="4" w:space="0" w:color="D9E2F3"/>
              <w:bottom w:val="single" w:sz="4" w:space="0" w:color="D9E2F3"/>
              <w:right w:val="single" w:sz="4" w:space="0" w:color="D9E2F3"/>
            </w:tcBorders>
            <w:vAlign w:val="center"/>
          </w:tcPr>
          <w:p w14:paraId="1E88AB9D" w14:textId="77777777" w:rsidR="00B26C8C" w:rsidRDefault="00000000">
            <w:pPr>
              <w:spacing w:after="0"/>
            </w:pPr>
            <w:r>
              <w:rPr>
                <w:sz w:val="17"/>
              </w:rPr>
              <w:t>ENCHILADAS SUIZAS</w:t>
            </w:r>
          </w:p>
        </w:tc>
        <w:tc>
          <w:tcPr>
            <w:tcW w:w="3360" w:type="dxa"/>
            <w:tcBorders>
              <w:top w:val="single" w:sz="4" w:space="0" w:color="D9E2F3"/>
              <w:left w:val="single" w:sz="4" w:space="0" w:color="D9E2F3"/>
              <w:bottom w:val="single" w:sz="4" w:space="0" w:color="D9E2F3"/>
              <w:right w:val="single" w:sz="4" w:space="0" w:color="D9E2F3"/>
            </w:tcBorders>
            <w:vAlign w:val="center"/>
          </w:tcPr>
          <w:p w14:paraId="7C2C5876" w14:textId="77777777" w:rsidR="00B26C8C" w:rsidRDefault="00000000">
            <w:pPr>
              <w:spacing w:after="0"/>
            </w:pPr>
            <w:r>
              <w:rPr>
                <w:sz w:val="17"/>
              </w:rPr>
              <w:t>40,260</w:t>
            </w:r>
          </w:p>
        </w:tc>
      </w:tr>
      <w:tr w:rsidR="00B26C8C" w14:paraId="7EC7F51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661239A1" w14:textId="77777777" w:rsidR="00B26C8C" w:rsidRDefault="00000000">
            <w:pPr>
              <w:spacing w:after="0"/>
            </w:pPr>
            <w:r>
              <w:rPr>
                <w:sz w:val="17"/>
              </w:rPr>
              <w:t>10</w:t>
            </w:r>
          </w:p>
        </w:tc>
        <w:tc>
          <w:tcPr>
            <w:tcW w:w="3360" w:type="dxa"/>
            <w:tcBorders>
              <w:top w:val="single" w:sz="4" w:space="0" w:color="D9E2F3"/>
              <w:left w:val="single" w:sz="4" w:space="0" w:color="D9E2F3"/>
              <w:bottom w:val="single" w:sz="4" w:space="0" w:color="D9E2F3"/>
              <w:right w:val="single" w:sz="4" w:space="0" w:color="D9E2F3"/>
            </w:tcBorders>
            <w:vAlign w:val="center"/>
          </w:tcPr>
          <w:p w14:paraId="6439CC9F" w14:textId="77777777" w:rsidR="00B26C8C" w:rsidRPr="00AD1963" w:rsidRDefault="00000000">
            <w:pPr>
              <w:spacing w:after="0"/>
              <w:rPr>
                <w:lang w:val="es-MX"/>
              </w:rPr>
            </w:pPr>
            <w:r w:rsidRPr="00AD1963">
              <w:rPr>
                <w:sz w:val="17"/>
                <w:lang w:val="es-MX"/>
              </w:rPr>
              <w:t>CROISSANT DE JAMÓN Y QUESO</w:t>
            </w:r>
          </w:p>
        </w:tc>
        <w:tc>
          <w:tcPr>
            <w:tcW w:w="3360" w:type="dxa"/>
            <w:tcBorders>
              <w:top w:val="single" w:sz="4" w:space="0" w:color="D9E2F3"/>
              <w:left w:val="single" w:sz="4" w:space="0" w:color="D9E2F3"/>
              <w:bottom w:val="single" w:sz="4" w:space="0" w:color="D9E2F3"/>
              <w:right w:val="single" w:sz="4" w:space="0" w:color="D9E2F3"/>
            </w:tcBorders>
            <w:vAlign w:val="center"/>
          </w:tcPr>
          <w:p w14:paraId="186BE8A0" w14:textId="77777777" w:rsidR="00B26C8C" w:rsidRDefault="00000000">
            <w:pPr>
              <w:spacing w:after="0"/>
            </w:pPr>
            <w:r>
              <w:rPr>
                <w:sz w:val="17"/>
              </w:rPr>
              <w:t>40,130</w:t>
            </w:r>
          </w:p>
        </w:tc>
      </w:tr>
    </w:tbl>
    <w:p w14:paraId="5811C785" w14:textId="77777777" w:rsidR="00B26C8C" w:rsidRDefault="00000000">
      <w:pPr>
        <w:spacing w:after="160"/>
        <w:jc w:val="center"/>
      </w:pPr>
      <w:r>
        <w:rPr>
          <w:i/>
          <w:color w:val="595959"/>
          <w:sz w:val="18"/>
        </w:rPr>
        <w:t>Table 3. Top ten items by total quantity in the merged dataset.</w:t>
      </w:r>
    </w:p>
    <w:p w14:paraId="3D202FA1" w14:textId="77777777" w:rsidR="00B26C8C" w:rsidRDefault="00000000">
      <w:r>
        <w:t>The gap between CONCHA VAINILLA and the second product is large: CONCHA VAINILLA sold more than twice as many units as CONCHA CHOCOLATE. For Panem, this means that improving the forecast for this product can have a high operational impact because even small percentage improvements may translate into many physical units.</w:t>
      </w:r>
    </w:p>
    <w:p w14:paraId="16D00610" w14:textId="77777777" w:rsidR="00B26C8C" w:rsidRDefault="00000000">
      <w:pPr>
        <w:pStyle w:val="Heading1"/>
      </w:pPr>
      <w:r>
        <w:t>6. Linear Regression Models</w:t>
      </w:r>
    </w:p>
    <w:p w14:paraId="45854DBB" w14:textId="77777777" w:rsidR="00B26C8C" w:rsidRDefault="00000000">
      <w:r>
        <w:t>Two linear regression models were trained to predict sales quantity for CONCHA VAINILLA. The purpose was not only to produce a prediction, but also to compare how much explanatory value is gained when historical demand features are added to basic calendar, branch and weather variables.</w:t>
      </w:r>
    </w:p>
    <w:tbl>
      <w:tblPr>
        <w:tblW w:w="0" w:type="auto"/>
        <w:jc w:val="center"/>
        <w:tblLook w:val="04A0" w:firstRow="1" w:lastRow="0" w:firstColumn="1" w:lastColumn="0" w:noHBand="0" w:noVBand="1"/>
      </w:tblPr>
      <w:tblGrid>
        <w:gridCol w:w="2518"/>
        <w:gridCol w:w="2517"/>
        <w:gridCol w:w="2517"/>
        <w:gridCol w:w="2518"/>
      </w:tblGrid>
      <w:tr w:rsidR="00B26C8C" w14:paraId="2AC58636"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2603E86F" w14:textId="77777777" w:rsidR="00B26C8C" w:rsidRDefault="00000000">
            <w:pPr>
              <w:spacing w:after="0"/>
            </w:pPr>
            <w:r>
              <w:rPr>
                <w:b/>
                <w:color w:val="FFFFFF"/>
                <w:sz w:val="17"/>
              </w:rPr>
              <w:t>Metric</w:t>
            </w:r>
          </w:p>
        </w:tc>
        <w:tc>
          <w:tcPr>
            <w:tcW w:w="252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7EF8BA92" w14:textId="77777777" w:rsidR="00B26C8C" w:rsidRDefault="00000000">
            <w:pPr>
              <w:spacing w:after="0"/>
            </w:pPr>
            <w:r>
              <w:rPr>
                <w:b/>
                <w:color w:val="FFFFFF"/>
                <w:sz w:val="17"/>
              </w:rPr>
              <w:t>Model A: calendar + branch + weather</w:t>
            </w:r>
          </w:p>
        </w:tc>
        <w:tc>
          <w:tcPr>
            <w:tcW w:w="252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271A617C" w14:textId="77777777" w:rsidR="00B26C8C" w:rsidRDefault="00000000">
            <w:pPr>
              <w:spacing w:after="0"/>
            </w:pPr>
            <w:r>
              <w:rPr>
                <w:b/>
                <w:color w:val="FFFFFF"/>
                <w:sz w:val="17"/>
              </w:rPr>
              <w:t>Model B: Model A + rolling demand</w:t>
            </w:r>
          </w:p>
        </w:tc>
        <w:tc>
          <w:tcPr>
            <w:tcW w:w="252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3A1AA1FF" w14:textId="77777777" w:rsidR="00B26C8C" w:rsidRDefault="00000000">
            <w:pPr>
              <w:spacing w:after="0"/>
            </w:pPr>
            <w:r>
              <w:rPr>
                <w:b/>
                <w:color w:val="FFFFFF"/>
                <w:sz w:val="17"/>
              </w:rPr>
              <w:t>Improvement from A to B</w:t>
            </w:r>
          </w:p>
        </w:tc>
      </w:tr>
      <w:tr w:rsidR="00B26C8C" w14:paraId="3E550CE5" w14:textId="77777777">
        <w:trPr>
          <w:jc w:val="center"/>
        </w:trPr>
        <w:tc>
          <w:tcPr>
            <w:tcW w:w="2520" w:type="dxa"/>
            <w:tcBorders>
              <w:top w:val="single" w:sz="4" w:space="0" w:color="D9E2F3"/>
              <w:left w:val="single" w:sz="4" w:space="0" w:color="D9E2F3"/>
              <w:bottom w:val="single" w:sz="4" w:space="0" w:color="D9E2F3"/>
              <w:right w:val="single" w:sz="4" w:space="0" w:color="D9E2F3"/>
            </w:tcBorders>
            <w:vAlign w:val="center"/>
          </w:tcPr>
          <w:p w14:paraId="76BA7F89" w14:textId="77777777" w:rsidR="00B26C8C" w:rsidRDefault="00000000">
            <w:pPr>
              <w:spacing w:after="0"/>
            </w:pPr>
            <w:r>
              <w:rPr>
                <w:sz w:val="17"/>
              </w:rPr>
              <w:t>MAE</w:t>
            </w:r>
          </w:p>
        </w:tc>
        <w:tc>
          <w:tcPr>
            <w:tcW w:w="2520" w:type="dxa"/>
            <w:tcBorders>
              <w:top w:val="single" w:sz="4" w:space="0" w:color="D9E2F3"/>
              <w:left w:val="single" w:sz="4" w:space="0" w:color="D9E2F3"/>
              <w:bottom w:val="single" w:sz="4" w:space="0" w:color="D9E2F3"/>
              <w:right w:val="single" w:sz="4" w:space="0" w:color="D9E2F3"/>
            </w:tcBorders>
            <w:vAlign w:val="center"/>
          </w:tcPr>
          <w:p w14:paraId="6BBB9444" w14:textId="77777777" w:rsidR="00B26C8C" w:rsidRDefault="00000000">
            <w:pPr>
              <w:spacing w:after="0"/>
            </w:pPr>
            <w:r>
              <w:rPr>
                <w:sz w:val="17"/>
              </w:rPr>
              <w:t>16.050</w:t>
            </w:r>
          </w:p>
        </w:tc>
        <w:tc>
          <w:tcPr>
            <w:tcW w:w="2520" w:type="dxa"/>
            <w:tcBorders>
              <w:top w:val="single" w:sz="4" w:space="0" w:color="D9E2F3"/>
              <w:left w:val="single" w:sz="4" w:space="0" w:color="D9E2F3"/>
              <w:bottom w:val="single" w:sz="4" w:space="0" w:color="D9E2F3"/>
              <w:right w:val="single" w:sz="4" w:space="0" w:color="D9E2F3"/>
            </w:tcBorders>
            <w:vAlign w:val="center"/>
          </w:tcPr>
          <w:p w14:paraId="1633EB51" w14:textId="77777777" w:rsidR="00B26C8C" w:rsidRDefault="00000000">
            <w:pPr>
              <w:spacing w:after="0"/>
            </w:pPr>
            <w:r>
              <w:rPr>
                <w:sz w:val="17"/>
              </w:rPr>
              <w:t>11.862</w:t>
            </w:r>
          </w:p>
        </w:tc>
        <w:tc>
          <w:tcPr>
            <w:tcW w:w="2520" w:type="dxa"/>
            <w:tcBorders>
              <w:top w:val="single" w:sz="4" w:space="0" w:color="D9E2F3"/>
              <w:left w:val="single" w:sz="4" w:space="0" w:color="D9E2F3"/>
              <w:bottom w:val="single" w:sz="4" w:space="0" w:color="D9E2F3"/>
              <w:right w:val="single" w:sz="4" w:space="0" w:color="D9E2F3"/>
            </w:tcBorders>
            <w:vAlign w:val="center"/>
          </w:tcPr>
          <w:p w14:paraId="60D74A94" w14:textId="77777777" w:rsidR="00B26C8C" w:rsidRDefault="00000000">
            <w:pPr>
              <w:spacing w:after="0"/>
            </w:pPr>
            <w:r>
              <w:rPr>
                <w:sz w:val="17"/>
              </w:rPr>
              <w:t>26.1% lower</w:t>
            </w:r>
          </w:p>
        </w:tc>
      </w:tr>
      <w:tr w:rsidR="00B26C8C" w14:paraId="4405266F" w14:textId="77777777">
        <w:trPr>
          <w:jc w:val="center"/>
        </w:trPr>
        <w:tc>
          <w:tcPr>
            <w:tcW w:w="2520" w:type="dxa"/>
            <w:tcBorders>
              <w:top w:val="single" w:sz="4" w:space="0" w:color="D9E2F3"/>
              <w:left w:val="single" w:sz="4" w:space="0" w:color="D9E2F3"/>
              <w:bottom w:val="single" w:sz="4" w:space="0" w:color="D9E2F3"/>
              <w:right w:val="single" w:sz="4" w:space="0" w:color="D9E2F3"/>
            </w:tcBorders>
            <w:vAlign w:val="center"/>
          </w:tcPr>
          <w:p w14:paraId="5FDC9411" w14:textId="77777777" w:rsidR="00B26C8C" w:rsidRDefault="00000000">
            <w:pPr>
              <w:spacing w:after="0"/>
            </w:pPr>
            <w:r>
              <w:rPr>
                <w:sz w:val="17"/>
              </w:rPr>
              <w:t>RMSE</w:t>
            </w:r>
          </w:p>
        </w:tc>
        <w:tc>
          <w:tcPr>
            <w:tcW w:w="2520" w:type="dxa"/>
            <w:tcBorders>
              <w:top w:val="single" w:sz="4" w:space="0" w:color="D9E2F3"/>
              <w:left w:val="single" w:sz="4" w:space="0" w:color="D9E2F3"/>
              <w:bottom w:val="single" w:sz="4" w:space="0" w:color="D9E2F3"/>
              <w:right w:val="single" w:sz="4" w:space="0" w:color="D9E2F3"/>
            </w:tcBorders>
            <w:vAlign w:val="center"/>
          </w:tcPr>
          <w:p w14:paraId="2C293914" w14:textId="77777777" w:rsidR="00B26C8C" w:rsidRDefault="00000000">
            <w:pPr>
              <w:spacing w:after="0"/>
            </w:pPr>
            <w:r>
              <w:rPr>
                <w:sz w:val="17"/>
              </w:rPr>
              <w:t>20.810</w:t>
            </w:r>
          </w:p>
        </w:tc>
        <w:tc>
          <w:tcPr>
            <w:tcW w:w="2520" w:type="dxa"/>
            <w:tcBorders>
              <w:top w:val="single" w:sz="4" w:space="0" w:color="D9E2F3"/>
              <w:left w:val="single" w:sz="4" w:space="0" w:color="D9E2F3"/>
              <w:bottom w:val="single" w:sz="4" w:space="0" w:color="D9E2F3"/>
              <w:right w:val="single" w:sz="4" w:space="0" w:color="D9E2F3"/>
            </w:tcBorders>
            <w:vAlign w:val="center"/>
          </w:tcPr>
          <w:p w14:paraId="447F7321" w14:textId="77777777" w:rsidR="00B26C8C" w:rsidRDefault="00000000">
            <w:pPr>
              <w:spacing w:after="0"/>
            </w:pPr>
            <w:r>
              <w:rPr>
                <w:sz w:val="17"/>
              </w:rPr>
              <w:t>16.424</w:t>
            </w:r>
          </w:p>
        </w:tc>
        <w:tc>
          <w:tcPr>
            <w:tcW w:w="2520" w:type="dxa"/>
            <w:tcBorders>
              <w:top w:val="single" w:sz="4" w:space="0" w:color="D9E2F3"/>
              <w:left w:val="single" w:sz="4" w:space="0" w:color="D9E2F3"/>
              <w:bottom w:val="single" w:sz="4" w:space="0" w:color="D9E2F3"/>
              <w:right w:val="single" w:sz="4" w:space="0" w:color="D9E2F3"/>
            </w:tcBorders>
            <w:vAlign w:val="center"/>
          </w:tcPr>
          <w:p w14:paraId="6870A209" w14:textId="77777777" w:rsidR="00B26C8C" w:rsidRDefault="00000000">
            <w:pPr>
              <w:spacing w:after="0"/>
            </w:pPr>
            <w:r>
              <w:rPr>
                <w:sz w:val="17"/>
              </w:rPr>
              <w:t>21.1% lower</w:t>
            </w:r>
          </w:p>
        </w:tc>
      </w:tr>
      <w:tr w:rsidR="00B26C8C" w14:paraId="27B5FE4E" w14:textId="77777777">
        <w:trPr>
          <w:jc w:val="center"/>
        </w:trPr>
        <w:tc>
          <w:tcPr>
            <w:tcW w:w="2520" w:type="dxa"/>
            <w:tcBorders>
              <w:top w:val="single" w:sz="4" w:space="0" w:color="D9E2F3"/>
              <w:left w:val="single" w:sz="4" w:space="0" w:color="D9E2F3"/>
              <w:bottom w:val="single" w:sz="4" w:space="0" w:color="D9E2F3"/>
              <w:right w:val="single" w:sz="4" w:space="0" w:color="D9E2F3"/>
            </w:tcBorders>
            <w:vAlign w:val="center"/>
          </w:tcPr>
          <w:p w14:paraId="14A05122" w14:textId="77777777" w:rsidR="00B26C8C" w:rsidRDefault="00000000">
            <w:pPr>
              <w:spacing w:after="0"/>
            </w:pPr>
            <w:r>
              <w:rPr>
                <w:sz w:val="17"/>
              </w:rPr>
              <w:t>R²</w:t>
            </w:r>
          </w:p>
        </w:tc>
        <w:tc>
          <w:tcPr>
            <w:tcW w:w="2520" w:type="dxa"/>
            <w:tcBorders>
              <w:top w:val="single" w:sz="4" w:space="0" w:color="D9E2F3"/>
              <w:left w:val="single" w:sz="4" w:space="0" w:color="D9E2F3"/>
              <w:bottom w:val="single" w:sz="4" w:space="0" w:color="D9E2F3"/>
              <w:right w:val="single" w:sz="4" w:space="0" w:color="D9E2F3"/>
            </w:tcBorders>
            <w:vAlign w:val="center"/>
          </w:tcPr>
          <w:p w14:paraId="655552E7" w14:textId="77777777" w:rsidR="00B26C8C" w:rsidRDefault="00000000">
            <w:pPr>
              <w:spacing w:after="0"/>
            </w:pPr>
            <w:r>
              <w:rPr>
                <w:sz w:val="17"/>
              </w:rPr>
              <w:t>0.1601</w:t>
            </w:r>
          </w:p>
        </w:tc>
        <w:tc>
          <w:tcPr>
            <w:tcW w:w="2520" w:type="dxa"/>
            <w:tcBorders>
              <w:top w:val="single" w:sz="4" w:space="0" w:color="D9E2F3"/>
              <w:left w:val="single" w:sz="4" w:space="0" w:color="D9E2F3"/>
              <w:bottom w:val="single" w:sz="4" w:space="0" w:color="D9E2F3"/>
              <w:right w:val="single" w:sz="4" w:space="0" w:color="D9E2F3"/>
            </w:tcBorders>
            <w:vAlign w:val="center"/>
          </w:tcPr>
          <w:p w14:paraId="155A41AF" w14:textId="77777777" w:rsidR="00B26C8C" w:rsidRDefault="00000000">
            <w:pPr>
              <w:spacing w:after="0"/>
            </w:pPr>
            <w:r>
              <w:rPr>
                <w:sz w:val="17"/>
              </w:rPr>
              <w:t>0.4768</w:t>
            </w:r>
          </w:p>
        </w:tc>
        <w:tc>
          <w:tcPr>
            <w:tcW w:w="2520" w:type="dxa"/>
            <w:tcBorders>
              <w:top w:val="single" w:sz="4" w:space="0" w:color="D9E2F3"/>
              <w:left w:val="single" w:sz="4" w:space="0" w:color="D9E2F3"/>
              <w:bottom w:val="single" w:sz="4" w:space="0" w:color="D9E2F3"/>
              <w:right w:val="single" w:sz="4" w:space="0" w:color="D9E2F3"/>
            </w:tcBorders>
            <w:vAlign w:val="center"/>
          </w:tcPr>
          <w:p w14:paraId="4296A147" w14:textId="77777777" w:rsidR="00B26C8C" w:rsidRDefault="00000000">
            <w:pPr>
              <w:spacing w:after="0"/>
            </w:pPr>
            <w:r>
              <w:rPr>
                <w:sz w:val="17"/>
              </w:rPr>
              <w:t>+0.3167 points</w:t>
            </w:r>
          </w:p>
        </w:tc>
      </w:tr>
    </w:tbl>
    <w:p w14:paraId="0BE9C431" w14:textId="77777777" w:rsidR="00B26C8C" w:rsidRDefault="00000000">
      <w:pPr>
        <w:spacing w:after="160"/>
        <w:jc w:val="center"/>
      </w:pPr>
      <w:r>
        <w:rPr>
          <w:i/>
          <w:color w:val="595959"/>
          <w:sz w:val="18"/>
        </w:rPr>
        <w:t>Table 4. Linear regression performance comparison on the test sample.</w:t>
      </w:r>
    </w:p>
    <w:p w14:paraId="221834B7" w14:textId="77777777" w:rsidR="00B26C8C" w:rsidRDefault="00000000">
      <w:pPr>
        <w:pStyle w:val="ListBullet"/>
        <w:spacing w:after="60"/>
      </w:pPr>
      <w:r>
        <w:rPr>
          <w:sz w:val="20"/>
        </w:rPr>
        <w:t>Model A is weak but interpretable. Its R² of 0.1601 means that calendar, branch and weather variables alone explain only a limited part of daily demand variation.</w:t>
      </w:r>
    </w:p>
    <w:p w14:paraId="15AB0AB4" w14:textId="77777777" w:rsidR="00B26C8C" w:rsidRDefault="00000000">
      <w:pPr>
        <w:pStyle w:val="ListBullet"/>
        <w:spacing w:after="60"/>
      </w:pPr>
      <w:r>
        <w:rPr>
          <w:sz w:val="20"/>
        </w:rPr>
        <w:t>Model B is substantially better because rolling historical demand variables capture persistence and weekly purchasing behavior. It reduced MAE from 16.050 to 11.862 units.</w:t>
      </w:r>
    </w:p>
    <w:p w14:paraId="5DC65409" w14:textId="77777777" w:rsidR="00B26C8C" w:rsidRDefault="00000000">
      <w:pPr>
        <w:pStyle w:val="ListBullet"/>
        <w:spacing w:after="60"/>
      </w:pPr>
      <w:r>
        <w:rPr>
          <w:sz w:val="20"/>
        </w:rPr>
        <w:t>The improvement confirms that Panem demand is highly dependent on recent sales history. However, this also means the model is more appropriate for short-horizon prediction than long-range forecasting.</w:t>
      </w:r>
    </w:p>
    <w:p w14:paraId="1C92C366" w14:textId="77777777" w:rsidR="00B26C8C" w:rsidRDefault="00000000">
      <w:pPr>
        <w:pStyle w:val="ListBullet"/>
        <w:spacing w:after="60"/>
      </w:pPr>
      <w:r>
        <w:rPr>
          <w:sz w:val="20"/>
        </w:rPr>
        <w:lastRenderedPageBreak/>
        <w:t>Coefficients for sucursal_code and season_code should be interpreted carefully because these are numeric encodings of categories, not naturally continuous variables. A stricter regression design should use one-hot encoding or regularization.</w:t>
      </w:r>
    </w:p>
    <w:p w14:paraId="455EE9A2" w14:textId="77777777" w:rsidR="00B26C8C" w:rsidRDefault="00000000">
      <w:r>
        <w:t>The coefficient signs are directionally useful but not causal. In Model A, is_holiday had a positive coefficient (+4.1783), while is_warm had a negative coefficient (-5.1680). After adding rolling demand features in Model B, these effects became smaller, which suggests that part of what looked like a weather or holiday effect was already captured by recent demand behavior.</w:t>
      </w:r>
    </w:p>
    <w:p w14:paraId="6535D3ED" w14:textId="77777777" w:rsidR="00B26C8C" w:rsidRDefault="00000000">
      <w:pPr>
        <w:jc w:val="center"/>
      </w:pPr>
      <w:r>
        <w:rPr>
          <w:noProof/>
        </w:rPr>
        <w:drawing>
          <wp:inline distT="0" distB="0" distL="0" distR="0" wp14:anchorId="7114D0C8" wp14:editId="469A700F">
            <wp:extent cx="6309360" cy="4496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10"/>
                    <a:stretch>
                      <a:fillRect/>
                    </a:stretch>
                  </pic:blipFill>
                  <pic:spPr>
                    <a:xfrm>
                      <a:off x="0" y="0"/>
                      <a:ext cx="6309360" cy="4496952"/>
                    </a:xfrm>
                    <a:prstGeom prst="rect">
                      <a:avLst/>
                    </a:prstGeom>
                  </pic:spPr>
                </pic:pic>
              </a:graphicData>
            </a:graphic>
          </wp:inline>
        </w:drawing>
      </w:r>
    </w:p>
    <w:p w14:paraId="5D101066" w14:textId="77777777" w:rsidR="00B26C8C" w:rsidRDefault="00000000">
      <w:pPr>
        <w:spacing w:after="160"/>
        <w:jc w:val="center"/>
      </w:pPr>
      <w:r>
        <w:rPr>
          <w:i/>
          <w:color w:val="595959"/>
          <w:sz w:val="18"/>
        </w:rPr>
        <w:t>Figure 2. Model B diagnostic plots: actual vs. predicted, residuals, residual distribution and Q-Q plot.</w:t>
      </w:r>
    </w:p>
    <w:p w14:paraId="4C520912" w14:textId="77777777" w:rsidR="00B26C8C" w:rsidRDefault="00000000">
      <w:r>
        <w:t>The diagnostic plots show that Model B captures the general direction of demand but does not fully satisfy linear regression assumptions. The actual vs. predicted plot shows that high-demand days are often underpredicted. The residuals vs. predicted plot shows changing variance, while the histogram and Q-Q plot indicate heavy tails and non-normal residuals. This is expected because sales quantity is count-like, has spikes, and can include many low or zero values.</w:t>
      </w:r>
    </w:p>
    <w:p w14:paraId="0232E696" w14:textId="77777777" w:rsidR="00B26C8C" w:rsidRDefault="00000000">
      <w:pPr>
        <w:pStyle w:val="Heading1"/>
      </w:pPr>
      <w:r>
        <w:t>7. Time Series Analysis and 6-Month Forecast</w:t>
      </w:r>
    </w:p>
    <w:p w14:paraId="75C4C34F" w14:textId="77777777" w:rsidR="00B26C8C" w:rsidRDefault="00000000">
      <w:r>
        <w:t>For the time-series section, the selected product was aggregated across all branches by operating_date. The notebook created a daily series and then resampled it into monthly sales, which is a more stable granularity for a six-month forecast. The daily series contains 1,474 observations from 2022-01-31 to 2026-02-12, while the monthly series contains 50 observations from 2022-01-01 to 2026-02-01.</w:t>
      </w:r>
    </w:p>
    <w:p w14:paraId="18859E19" w14:textId="77777777" w:rsidR="00B26C8C" w:rsidRDefault="00000000">
      <w:pPr>
        <w:jc w:val="center"/>
      </w:pPr>
      <w:r>
        <w:rPr>
          <w:noProof/>
        </w:rPr>
        <w:lastRenderedPageBreak/>
        <w:drawing>
          <wp:inline distT="0" distB="0" distL="0" distR="0" wp14:anchorId="2DC9BC67" wp14:editId="2F4D83CD">
            <wp:extent cx="6309360" cy="3134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11"/>
                    <a:stretch>
                      <a:fillRect/>
                    </a:stretch>
                  </pic:blipFill>
                  <pic:spPr>
                    <a:xfrm>
                      <a:off x="0" y="0"/>
                      <a:ext cx="6309360" cy="3134239"/>
                    </a:xfrm>
                    <a:prstGeom prst="rect">
                      <a:avLst/>
                    </a:prstGeom>
                  </pic:spPr>
                </pic:pic>
              </a:graphicData>
            </a:graphic>
          </wp:inline>
        </w:drawing>
      </w:r>
    </w:p>
    <w:p w14:paraId="590EDAF4" w14:textId="77777777" w:rsidR="00B26C8C" w:rsidRDefault="00000000">
      <w:pPr>
        <w:spacing w:after="160"/>
        <w:jc w:val="center"/>
      </w:pPr>
      <w:r>
        <w:rPr>
          <w:i/>
          <w:color w:val="595959"/>
          <w:sz w:val="18"/>
        </w:rPr>
        <w:t>Figure 3. Daily and monthly sales series for CONCHA VAINILLA across all branches.</w:t>
      </w:r>
    </w:p>
    <w:p w14:paraId="29F2B37C" w14:textId="77777777" w:rsidR="00B26C8C" w:rsidRDefault="00000000">
      <w:r>
        <w:t>The daily series shows substantial volatility and several spikes, which is normal in food retail demand. The monthly series smooths that volatility and makes the broader direction easier to interpret. Visually, demand increases over the full observation window, with particularly high values near late 2025 and early 2026.</w:t>
      </w:r>
    </w:p>
    <w:p w14:paraId="5EDC64A7" w14:textId="77777777" w:rsidR="00B26C8C" w:rsidRDefault="00000000">
      <w:pPr>
        <w:jc w:val="center"/>
      </w:pPr>
      <w:r>
        <w:rPr>
          <w:noProof/>
        </w:rPr>
        <w:drawing>
          <wp:inline distT="0" distB="0" distL="0" distR="0" wp14:anchorId="4BC614C8" wp14:editId="0918172C">
            <wp:extent cx="6309360" cy="4605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2"/>
                    <a:stretch>
                      <a:fillRect/>
                    </a:stretch>
                  </pic:blipFill>
                  <pic:spPr>
                    <a:xfrm>
                      <a:off x="0" y="0"/>
                      <a:ext cx="6309360" cy="4605969"/>
                    </a:xfrm>
                    <a:prstGeom prst="rect">
                      <a:avLst/>
                    </a:prstGeom>
                  </pic:spPr>
                </pic:pic>
              </a:graphicData>
            </a:graphic>
          </wp:inline>
        </w:drawing>
      </w:r>
    </w:p>
    <w:p w14:paraId="480E34E2" w14:textId="77777777" w:rsidR="00B26C8C" w:rsidRDefault="00000000">
      <w:pPr>
        <w:spacing w:after="160"/>
        <w:jc w:val="center"/>
      </w:pPr>
      <w:r>
        <w:rPr>
          <w:i/>
          <w:color w:val="595959"/>
          <w:sz w:val="18"/>
        </w:rPr>
        <w:lastRenderedPageBreak/>
        <w:t>Figure 4. Monthly additive decomposition for CONCHA VAINILLA with period = 12.</w:t>
      </w:r>
    </w:p>
    <w:tbl>
      <w:tblPr>
        <w:tblW w:w="0" w:type="auto"/>
        <w:jc w:val="center"/>
        <w:tblLook w:val="04A0" w:firstRow="1" w:lastRow="0" w:firstColumn="1" w:lastColumn="0" w:noHBand="0" w:noVBand="1"/>
      </w:tblPr>
      <w:tblGrid>
        <w:gridCol w:w="3356"/>
        <w:gridCol w:w="3357"/>
        <w:gridCol w:w="3357"/>
      </w:tblGrid>
      <w:tr w:rsidR="00B26C8C" w14:paraId="4D71AFAD" w14:textId="77777777">
        <w:trPr>
          <w:jc w:val="center"/>
        </w:trPr>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640F9040" w14:textId="77777777" w:rsidR="00B26C8C" w:rsidRDefault="00000000">
            <w:pPr>
              <w:spacing w:after="0"/>
            </w:pPr>
            <w:r>
              <w:rPr>
                <w:b/>
                <w:color w:val="FFFFFF"/>
                <w:sz w:val="17"/>
              </w:rPr>
              <w:t>Component / output</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441DD266" w14:textId="77777777" w:rsidR="00B26C8C" w:rsidRDefault="00000000">
            <w:pPr>
              <w:spacing w:after="0"/>
            </w:pPr>
            <w:r>
              <w:rPr>
                <w:b/>
                <w:color w:val="FFFFFF"/>
                <w:sz w:val="17"/>
              </w:rPr>
              <w:t>Notebook result</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471D6327" w14:textId="77777777" w:rsidR="00B26C8C" w:rsidRDefault="00000000">
            <w:pPr>
              <w:spacing w:after="0"/>
            </w:pPr>
            <w:r>
              <w:rPr>
                <w:b/>
                <w:color w:val="FFFFFF"/>
                <w:sz w:val="17"/>
              </w:rPr>
              <w:t>Interpretation</w:t>
            </w:r>
          </w:p>
        </w:tc>
      </w:tr>
      <w:tr w:rsidR="00B26C8C" w14:paraId="3449F72C"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D6D57E4" w14:textId="77777777" w:rsidR="00B26C8C" w:rsidRDefault="00000000">
            <w:pPr>
              <w:spacing w:after="0"/>
            </w:pPr>
            <w:r>
              <w:rPr>
                <w:sz w:val="17"/>
              </w:rPr>
              <w:t>Trend slope</w:t>
            </w:r>
          </w:p>
        </w:tc>
        <w:tc>
          <w:tcPr>
            <w:tcW w:w="3360" w:type="dxa"/>
            <w:tcBorders>
              <w:top w:val="single" w:sz="4" w:space="0" w:color="D9E2F3"/>
              <w:left w:val="single" w:sz="4" w:space="0" w:color="D9E2F3"/>
              <w:bottom w:val="single" w:sz="4" w:space="0" w:color="D9E2F3"/>
              <w:right w:val="single" w:sz="4" w:space="0" w:color="D9E2F3"/>
            </w:tcBorders>
            <w:vAlign w:val="center"/>
          </w:tcPr>
          <w:p w14:paraId="06D189B8" w14:textId="77777777" w:rsidR="00B26C8C" w:rsidRDefault="00000000">
            <w:pPr>
              <w:spacing w:after="0"/>
            </w:pPr>
            <w:r>
              <w:rPr>
                <w:sz w:val="17"/>
              </w:rPr>
              <w:t>+93.50 units/month</w:t>
            </w:r>
          </w:p>
        </w:tc>
        <w:tc>
          <w:tcPr>
            <w:tcW w:w="3360" w:type="dxa"/>
            <w:tcBorders>
              <w:top w:val="single" w:sz="4" w:space="0" w:color="D9E2F3"/>
              <w:left w:val="single" w:sz="4" w:space="0" w:color="D9E2F3"/>
              <w:bottom w:val="single" w:sz="4" w:space="0" w:color="D9E2F3"/>
              <w:right w:val="single" w:sz="4" w:space="0" w:color="D9E2F3"/>
            </w:tcBorders>
            <w:vAlign w:val="center"/>
          </w:tcPr>
          <w:p w14:paraId="2F9CFAB0" w14:textId="77777777" w:rsidR="00B26C8C" w:rsidRDefault="00000000">
            <w:pPr>
              <w:spacing w:after="0"/>
            </w:pPr>
            <w:r>
              <w:rPr>
                <w:sz w:val="17"/>
              </w:rPr>
              <w:t>Demand is increasing over the historical period.</w:t>
            </w:r>
          </w:p>
        </w:tc>
      </w:tr>
      <w:tr w:rsidR="00B26C8C" w14:paraId="011DA2B1"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49C2688" w14:textId="77777777" w:rsidR="00B26C8C" w:rsidRDefault="00000000">
            <w:pPr>
              <w:spacing w:after="0"/>
            </w:pPr>
            <w:r>
              <w:rPr>
                <w:sz w:val="17"/>
              </w:rPr>
              <w:t>Trend direction</w:t>
            </w:r>
          </w:p>
        </w:tc>
        <w:tc>
          <w:tcPr>
            <w:tcW w:w="3360" w:type="dxa"/>
            <w:tcBorders>
              <w:top w:val="single" w:sz="4" w:space="0" w:color="D9E2F3"/>
              <w:left w:val="single" w:sz="4" w:space="0" w:color="D9E2F3"/>
              <w:bottom w:val="single" w:sz="4" w:space="0" w:color="D9E2F3"/>
              <w:right w:val="single" w:sz="4" w:space="0" w:color="D9E2F3"/>
            </w:tcBorders>
            <w:vAlign w:val="center"/>
          </w:tcPr>
          <w:p w14:paraId="457EF730" w14:textId="77777777" w:rsidR="00B26C8C" w:rsidRDefault="00000000">
            <w:pPr>
              <w:spacing w:after="0"/>
            </w:pPr>
            <w:r>
              <w:rPr>
                <w:sz w:val="17"/>
              </w:rPr>
              <w:t>UPWARD</w:t>
            </w:r>
          </w:p>
        </w:tc>
        <w:tc>
          <w:tcPr>
            <w:tcW w:w="3360" w:type="dxa"/>
            <w:tcBorders>
              <w:top w:val="single" w:sz="4" w:space="0" w:color="D9E2F3"/>
              <w:left w:val="single" w:sz="4" w:space="0" w:color="D9E2F3"/>
              <w:bottom w:val="single" w:sz="4" w:space="0" w:color="D9E2F3"/>
              <w:right w:val="single" w:sz="4" w:space="0" w:color="D9E2F3"/>
            </w:tcBorders>
            <w:vAlign w:val="center"/>
          </w:tcPr>
          <w:p w14:paraId="32DDC6BA" w14:textId="77777777" w:rsidR="00B26C8C" w:rsidRDefault="00000000">
            <w:pPr>
              <w:spacing w:after="0"/>
            </w:pPr>
            <w:r>
              <w:rPr>
                <w:sz w:val="17"/>
              </w:rPr>
              <w:t>Supports maintaining or expanding planning capacity for this product.</w:t>
            </w:r>
          </w:p>
        </w:tc>
      </w:tr>
      <w:tr w:rsidR="00B26C8C" w14:paraId="51A80689"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68F720F6" w14:textId="77777777" w:rsidR="00B26C8C" w:rsidRDefault="00000000">
            <w:pPr>
              <w:spacing w:after="0"/>
            </w:pPr>
            <w:r>
              <w:rPr>
                <w:sz w:val="17"/>
              </w:rPr>
              <w:t>Peak seasonal month</w:t>
            </w:r>
          </w:p>
        </w:tc>
        <w:tc>
          <w:tcPr>
            <w:tcW w:w="3360" w:type="dxa"/>
            <w:tcBorders>
              <w:top w:val="single" w:sz="4" w:space="0" w:color="D9E2F3"/>
              <w:left w:val="single" w:sz="4" w:space="0" w:color="D9E2F3"/>
              <w:bottom w:val="single" w:sz="4" w:space="0" w:color="D9E2F3"/>
              <w:right w:val="single" w:sz="4" w:space="0" w:color="D9E2F3"/>
            </w:tcBorders>
            <w:vAlign w:val="center"/>
          </w:tcPr>
          <w:p w14:paraId="6BB87434" w14:textId="77777777" w:rsidR="00B26C8C" w:rsidRDefault="00000000">
            <w:pPr>
              <w:spacing w:after="0"/>
            </w:pPr>
            <w:r>
              <w:rPr>
                <w:sz w:val="17"/>
              </w:rPr>
              <w:t>5</w:t>
            </w:r>
          </w:p>
        </w:tc>
        <w:tc>
          <w:tcPr>
            <w:tcW w:w="3360" w:type="dxa"/>
            <w:tcBorders>
              <w:top w:val="single" w:sz="4" w:space="0" w:color="D9E2F3"/>
              <w:left w:val="single" w:sz="4" w:space="0" w:color="D9E2F3"/>
              <w:bottom w:val="single" w:sz="4" w:space="0" w:color="D9E2F3"/>
              <w:right w:val="single" w:sz="4" w:space="0" w:color="D9E2F3"/>
            </w:tcBorders>
            <w:vAlign w:val="center"/>
          </w:tcPr>
          <w:p w14:paraId="1E4ED758" w14:textId="77777777" w:rsidR="00B26C8C" w:rsidRDefault="00000000">
            <w:pPr>
              <w:spacing w:after="0"/>
            </w:pPr>
            <w:r>
              <w:rPr>
                <w:sz w:val="17"/>
              </w:rPr>
              <w:t>May is the strongest seasonal month on average.</w:t>
            </w:r>
          </w:p>
        </w:tc>
      </w:tr>
      <w:tr w:rsidR="00B26C8C" w14:paraId="64F5C39E"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360F9F1F" w14:textId="77777777" w:rsidR="00B26C8C" w:rsidRDefault="00000000">
            <w:pPr>
              <w:spacing w:after="0"/>
            </w:pPr>
            <w:r>
              <w:rPr>
                <w:sz w:val="17"/>
              </w:rPr>
              <w:t>Trough seasonal month</w:t>
            </w:r>
          </w:p>
        </w:tc>
        <w:tc>
          <w:tcPr>
            <w:tcW w:w="3360" w:type="dxa"/>
            <w:tcBorders>
              <w:top w:val="single" w:sz="4" w:space="0" w:color="D9E2F3"/>
              <w:left w:val="single" w:sz="4" w:space="0" w:color="D9E2F3"/>
              <w:bottom w:val="single" w:sz="4" w:space="0" w:color="D9E2F3"/>
              <w:right w:val="single" w:sz="4" w:space="0" w:color="D9E2F3"/>
            </w:tcBorders>
            <w:vAlign w:val="center"/>
          </w:tcPr>
          <w:p w14:paraId="10582A94" w14:textId="77777777" w:rsidR="00B26C8C" w:rsidRDefault="00000000">
            <w:pPr>
              <w:spacing w:after="0"/>
            </w:pPr>
            <w:r>
              <w:rPr>
                <w:sz w:val="17"/>
              </w:rPr>
              <w:t>2</w:t>
            </w:r>
          </w:p>
        </w:tc>
        <w:tc>
          <w:tcPr>
            <w:tcW w:w="3360" w:type="dxa"/>
            <w:tcBorders>
              <w:top w:val="single" w:sz="4" w:space="0" w:color="D9E2F3"/>
              <w:left w:val="single" w:sz="4" w:space="0" w:color="D9E2F3"/>
              <w:bottom w:val="single" w:sz="4" w:space="0" w:color="D9E2F3"/>
              <w:right w:val="single" w:sz="4" w:space="0" w:color="D9E2F3"/>
            </w:tcBorders>
            <w:vAlign w:val="center"/>
          </w:tcPr>
          <w:p w14:paraId="216619BA" w14:textId="77777777" w:rsidR="00B26C8C" w:rsidRDefault="00000000">
            <w:pPr>
              <w:spacing w:after="0"/>
            </w:pPr>
            <w:r>
              <w:rPr>
                <w:sz w:val="17"/>
              </w:rPr>
              <w:t>February is the weakest seasonal month on average.</w:t>
            </w:r>
          </w:p>
        </w:tc>
      </w:tr>
      <w:tr w:rsidR="00B26C8C" w14:paraId="1234EC4A"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435E7670" w14:textId="77777777" w:rsidR="00B26C8C" w:rsidRDefault="00000000">
            <w:pPr>
              <w:spacing w:after="0"/>
            </w:pPr>
            <w:r>
              <w:rPr>
                <w:sz w:val="17"/>
              </w:rPr>
              <w:t>Daily series length</w:t>
            </w:r>
          </w:p>
        </w:tc>
        <w:tc>
          <w:tcPr>
            <w:tcW w:w="3360" w:type="dxa"/>
            <w:tcBorders>
              <w:top w:val="single" w:sz="4" w:space="0" w:color="D9E2F3"/>
              <w:left w:val="single" w:sz="4" w:space="0" w:color="D9E2F3"/>
              <w:bottom w:val="single" w:sz="4" w:space="0" w:color="D9E2F3"/>
              <w:right w:val="single" w:sz="4" w:space="0" w:color="D9E2F3"/>
            </w:tcBorders>
            <w:vAlign w:val="center"/>
          </w:tcPr>
          <w:p w14:paraId="19F29210" w14:textId="77777777" w:rsidR="00B26C8C" w:rsidRDefault="00000000">
            <w:pPr>
              <w:spacing w:after="0"/>
            </w:pPr>
            <w:r>
              <w:rPr>
                <w:sz w:val="17"/>
              </w:rPr>
              <w:t>1,474 observations</w:t>
            </w:r>
          </w:p>
        </w:tc>
        <w:tc>
          <w:tcPr>
            <w:tcW w:w="3360" w:type="dxa"/>
            <w:tcBorders>
              <w:top w:val="single" w:sz="4" w:space="0" w:color="D9E2F3"/>
              <w:left w:val="single" w:sz="4" w:space="0" w:color="D9E2F3"/>
              <w:bottom w:val="single" w:sz="4" w:space="0" w:color="D9E2F3"/>
              <w:right w:val="single" w:sz="4" w:space="0" w:color="D9E2F3"/>
            </w:tcBorders>
            <w:vAlign w:val="center"/>
          </w:tcPr>
          <w:p w14:paraId="09DA2E75" w14:textId="77777777" w:rsidR="00B26C8C" w:rsidRDefault="00000000">
            <w:pPr>
              <w:spacing w:after="0"/>
            </w:pPr>
            <w:r>
              <w:rPr>
                <w:sz w:val="17"/>
              </w:rPr>
              <w:t>Sufficient for exploratory daily analysis.</w:t>
            </w:r>
          </w:p>
        </w:tc>
      </w:tr>
      <w:tr w:rsidR="00B26C8C" w14:paraId="1809E99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35985B0" w14:textId="77777777" w:rsidR="00B26C8C" w:rsidRDefault="00000000">
            <w:pPr>
              <w:spacing w:after="0"/>
            </w:pPr>
            <w:r>
              <w:rPr>
                <w:sz w:val="17"/>
              </w:rPr>
              <w:t>Monthly series length</w:t>
            </w:r>
          </w:p>
        </w:tc>
        <w:tc>
          <w:tcPr>
            <w:tcW w:w="3360" w:type="dxa"/>
            <w:tcBorders>
              <w:top w:val="single" w:sz="4" w:space="0" w:color="D9E2F3"/>
              <w:left w:val="single" w:sz="4" w:space="0" w:color="D9E2F3"/>
              <w:bottom w:val="single" w:sz="4" w:space="0" w:color="D9E2F3"/>
              <w:right w:val="single" w:sz="4" w:space="0" w:color="D9E2F3"/>
            </w:tcBorders>
            <w:vAlign w:val="center"/>
          </w:tcPr>
          <w:p w14:paraId="6C6A6A41" w14:textId="77777777" w:rsidR="00B26C8C" w:rsidRDefault="00000000">
            <w:pPr>
              <w:spacing w:after="0"/>
            </w:pPr>
            <w:r>
              <w:rPr>
                <w:sz w:val="17"/>
              </w:rPr>
              <w:t>50 observations</w:t>
            </w:r>
          </w:p>
        </w:tc>
        <w:tc>
          <w:tcPr>
            <w:tcW w:w="3360" w:type="dxa"/>
            <w:tcBorders>
              <w:top w:val="single" w:sz="4" w:space="0" w:color="D9E2F3"/>
              <w:left w:val="single" w:sz="4" w:space="0" w:color="D9E2F3"/>
              <w:bottom w:val="single" w:sz="4" w:space="0" w:color="D9E2F3"/>
              <w:right w:val="single" w:sz="4" w:space="0" w:color="D9E2F3"/>
            </w:tcBorders>
            <w:vAlign w:val="center"/>
          </w:tcPr>
          <w:p w14:paraId="497B3E18" w14:textId="77777777" w:rsidR="00B26C8C" w:rsidRDefault="00000000">
            <w:pPr>
              <w:spacing w:after="0"/>
            </w:pPr>
            <w:r>
              <w:rPr>
                <w:sz w:val="17"/>
              </w:rPr>
              <w:t>Enough for annual seasonality decomposition, but still limited for complex seasonal models.</w:t>
            </w:r>
          </w:p>
        </w:tc>
      </w:tr>
    </w:tbl>
    <w:p w14:paraId="4F52717C" w14:textId="77777777" w:rsidR="00B26C8C" w:rsidRDefault="00000000">
      <w:pPr>
        <w:spacing w:after="160"/>
        <w:jc w:val="center"/>
      </w:pPr>
      <w:r>
        <w:rPr>
          <w:i/>
          <w:color w:val="595959"/>
          <w:sz w:val="18"/>
        </w:rPr>
        <w:t>Table 5. Main time-series outputs from the notebook.</w:t>
      </w:r>
    </w:p>
    <w:p w14:paraId="28D88E05" w14:textId="77777777" w:rsidR="00B26C8C" w:rsidRDefault="00000000">
      <w:r>
        <w:t>The decomposition separates observed demand into trend, seasonality and residual components. The trend component rises from approximately the low 3,000 monthly-unit range toward more than 6,000 monthly units in the later period. The seasonal component shows recurring within-year deviations, while the residual component captures irregular shocks that the trend and seasonality cannot explain.</w:t>
      </w:r>
    </w:p>
    <w:p w14:paraId="16CD25D8" w14:textId="77777777" w:rsidR="00B26C8C" w:rsidRDefault="00000000">
      <w:pPr>
        <w:jc w:val="center"/>
      </w:pPr>
      <w:r>
        <w:rPr>
          <w:noProof/>
        </w:rPr>
        <w:drawing>
          <wp:inline distT="0" distB="0" distL="0" distR="0" wp14:anchorId="7C3DB6A4" wp14:editId="6694B29A">
            <wp:extent cx="6309360" cy="2224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3"/>
                    <a:stretch>
                      <a:fillRect/>
                    </a:stretch>
                  </pic:blipFill>
                  <pic:spPr>
                    <a:xfrm>
                      <a:off x="0" y="0"/>
                      <a:ext cx="6309360" cy="2224163"/>
                    </a:xfrm>
                    <a:prstGeom prst="rect">
                      <a:avLst/>
                    </a:prstGeom>
                  </pic:spPr>
                </pic:pic>
              </a:graphicData>
            </a:graphic>
          </wp:inline>
        </w:drawing>
      </w:r>
    </w:p>
    <w:p w14:paraId="573182A5" w14:textId="77777777" w:rsidR="00B26C8C" w:rsidRDefault="00000000">
      <w:pPr>
        <w:spacing w:after="160"/>
        <w:jc w:val="center"/>
      </w:pPr>
      <w:r>
        <w:rPr>
          <w:i/>
          <w:color w:val="595959"/>
          <w:sz w:val="18"/>
        </w:rPr>
        <w:t>Figure 5. Six-month forecast comparison using Holt-Winters and SARIMA.</w:t>
      </w:r>
    </w:p>
    <w:tbl>
      <w:tblPr>
        <w:tblW w:w="0" w:type="auto"/>
        <w:jc w:val="center"/>
        <w:tblLook w:val="04A0" w:firstRow="1" w:lastRow="0" w:firstColumn="1" w:lastColumn="0" w:noHBand="0" w:noVBand="1"/>
      </w:tblPr>
      <w:tblGrid>
        <w:gridCol w:w="3358"/>
        <w:gridCol w:w="3356"/>
        <w:gridCol w:w="3356"/>
      </w:tblGrid>
      <w:tr w:rsidR="00B26C8C" w14:paraId="282C36CB" w14:textId="77777777">
        <w:trPr>
          <w:jc w:val="center"/>
        </w:trPr>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216DD01B" w14:textId="77777777" w:rsidR="00B26C8C" w:rsidRDefault="00000000">
            <w:pPr>
              <w:spacing w:after="0"/>
            </w:pPr>
            <w:r>
              <w:rPr>
                <w:b/>
                <w:color w:val="FFFFFF"/>
                <w:sz w:val="17"/>
              </w:rPr>
              <w:t>Model</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0CD55F53" w14:textId="77777777" w:rsidR="00B26C8C" w:rsidRDefault="00000000">
            <w:pPr>
              <w:spacing w:after="0"/>
            </w:pPr>
            <w:r>
              <w:rPr>
                <w:b/>
                <w:color w:val="FFFFFF"/>
                <w:sz w:val="17"/>
              </w:rPr>
              <w:t>Visible output</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70B69983" w14:textId="77777777" w:rsidR="00B26C8C" w:rsidRDefault="00000000">
            <w:pPr>
              <w:spacing w:after="0"/>
            </w:pPr>
            <w:r>
              <w:rPr>
                <w:b/>
                <w:color w:val="FFFFFF"/>
                <w:sz w:val="17"/>
              </w:rPr>
              <w:t>Interpretation</w:t>
            </w:r>
          </w:p>
        </w:tc>
      </w:tr>
      <w:tr w:rsidR="00B26C8C" w14:paraId="00A507A3"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433EDB7E" w14:textId="77777777" w:rsidR="00B26C8C" w:rsidRDefault="00000000">
            <w:pPr>
              <w:spacing w:after="0"/>
            </w:pPr>
            <w:r>
              <w:rPr>
                <w:sz w:val="17"/>
              </w:rPr>
              <w:t>Holt-Winters ETS</w:t>
            </w:r>
          </w:p>
        </w:tc>
        <w:tc>
          <w:tcPr>
            <w:tcW w:w="3360" w:type="dxa"/>
            <w:tcBorders>
              <w:top w:val="single" w:sz="4" w:space="0" w:color="D9E2F3"/>
              <w:left w:val="single" w:sz="4" w:space="0" w:color="D9E2F3"/>
              <w:bottom w:val="single" w:sz="4" w:space="0" w:color="D9E2F3"/>
              <w:right w:val="single" w:sz="4" w:space="0" w:color="D9E2F3"/>
            </w:tcBorders>
            <w:vAlign w:val="center"/>
          </w:tcPr>
          <w:p w14:paraId="5D775121" w14:textId="77777777" w:rsidR="00B26C8C" w:rsidRDefault="00000000">
            <w:pPr>
              <w:spacing w:after="0"/>
            </w:pPr>
            <w:r>
              <w:rPr>
                <w:sz w:val="17"/>
              </w:rPr>
              <w:t>α = 0.8801, β = 0.0000, γ = 0.0000, AIC = 723.35</w:t>
            </w:r>
          </w:p>
        </w:tc>
        <w:tc>
          <w:tcPr>
            <w:tcW w:w="3360" w:type="dxa"/>
            <w:tcBorders>
              <w:top w:val="single" w:sz="4" w:space="0" w:color="D9E2F3"/>
              <w:left w:val="single" w:sz="4" w:space="0" w:color="D9E2F3"/>
              <w:bottom w:val="single" w:sz="4" w:space="0" w:color="D9E2F3"/>
              <w:right w:val="single" w:sz="4" w:space="0" w:color="D9E2F3"/>
            </w:tcBorders>
            <w:vAlign w:val="center"/>
          </w:tcPr>
          <w:p w14:paraId="45704F75" w14:textId="77777777" w:rsidR="00B26C8C" w:rsidRDefault="00000000">
            <w:pPr>
              <w:spacing w:after="0"/>
            </w:pPr>
            <w:r>
              <w:rPr>
                <w:sz w:val="17"/>
              </w:rPr>
              <w:t>The model puts strong weight on the recent level. It is stable and useful as the primary forecast layer.</w:t>
            </w:r>
          </w:p>
        </w:tc>
      </w:tr>
      <w:tr w:rsidR="00B26C8C" w14:paraId="6E6EFB3A"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56229A4E" w14:textId="77777777" w:rsidR="00B26C8C" w:rsidRDefault="00000000">
            <w:pPr>
              <w:spacing w:after="0"/>
            </w:pPr>
            <w:r>
              <w:rPr>
                <w:sz w:val="17"/>
              </w:rPr>
              <w:t>SARIMA(1,1,1)(1,0,1,12)</w:t>
            </w:r>
          </w:p>
        </w:tc>
        <w:tc>
          <w:tcPr>
            <w:tcW w:w="3360" w:type="dxa"/>
            <w:tcBorders>
              <w:top w:val="single" w:sz="4" w:space="0" w:color="D9E2F3"/>
              <w:left w:val="single" w:sz="4" w:space="0" w:color="D9E2F3"/>
              <w:bottom w:val="single" w:sz="4" w:space="0" w:color="D9E2F3"/>
              <w:right w:val="single" w:sz="4" w:space="0" w:color="D9E2F3"/>
            </w:tcBorders>
            <w:vAlign w:val="center"/>
          </w:tcPr>
          <w:p w14:paraId="088694FB" w14:textId="77777777" w:rsidR="00B26C8C" w:rsidRDefault="00000000">
            <w:pPr>
              <w:spacing w:after="0"/>
            </w:pPr>
            <w:r>
              <w:rPr>
                <w:sz w:val="17"/>
              </w:rPr>
              <w:t>ar.L1 and ma.L1 significant; seasonal AR and MA not significant at 5%</w:t>
            </w:r>
          </w:p>
        </w:tc>
        <w:tc>
          <w:tcPr>
            <w:tcW w:w="3360" w:type="dxa"/>
            <w:tcBorders>
              <w:top w:val="single" w:sz="4" w:space="0" w:color="D9E2F3"/>
              <w:left w:val="single" w:sz="4" w:space="0" w:color="D9E2F3"/>
              <w:bottom w:val="single" w:sz="4" w:space="0" w:color="D9E2F3"/>
              <w:right w:val="single" w:sz="4" w:space="0" w:color="D9E2F3"/>
            </w:tcBorders>
            <w:vAlign w:val="center"/>
          </w:tcPr>
          <w:p w14:paraId="2E0E1CAE" w14:textId="77777777" w:rsidR="00B26C8C" w:rsidRDefault="00000000">
            <w:pPr>
              <w:spacing w:after="0"/>
            </w:pPr>
            <w:r>
              <w:rPr>
                <w:sz w:val="17"/>
              </w:rPr>
              <w:t>Captures short-term autocorrelation, but the monthly seasonal parameters are not statistically strong in this fit.</w:t>
            </w:r>
          </w:p>
        </w:tc>
      </w:tr>
      <w:tr w:rsidR="00B26C8C" w14:paraId="0E2D2874"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32A8CCDE" w14:textId="77777777" w:rsidR="00B26C8C" w:rsidRDefault="00000000">
            <w:pPr>
              <w:spacing w:after="0"/>
            </w:pPr>
            <w:r>
              <w:rPr>
                <w:sz w:val="17"/>
              </w:rPr>
              <w:t>Forecast horizon</w:t>
            </w:r>
          </w:p>
        </w:tc>
        <w:tc>
          <w:tcPr>
            <w:tcW w:w="3360" w:type="dxa"/>
            <w:tcBorders>
              <w:top w:val="single" w:sz="4" w:space="0" w:color="D9E2F3"/>
              <w:left w:val="single" w:sz="4" w:space="0" w:color="D9E2F3"/>
              <w:bottom w:val="single" w:sz="4" w:space="0" w:color="D9E2F3"/>
              <w:right w:val="single" w:sz="4" w:space="0" w:color="D9E2F3"/>
            </w:tcBorders>
            <w:vAlign w:val="center"/>
          </w:tcPr>
          <w:p w14:paraId="10C8309A" w14:textId="77777777" w:rsidR="00B26C8C" w:rsidRDefault="00000000">
            <w:pPr>
              <w:spacing w:after="0"/>
            </w:pPr>
            <w:r>
              <w:rPr>
                <w:sz w:val="17"/>
              </w:rPr>
              <w:t>6 months</w:t>
            </w:r>
          </w:p>
        </w:tc>
        <w:tc>
          <w:tcPr>
            <w:tcW w:w="3360" w:type="dxa"/>
            <w:tcBorders>
              <w:top w:val="single" w:sz="4" w:space="0" w:color="D9E2F3"/>
              <w:left w:val="single" w:sz="4" w:space="0" w:color="D9E2F3"/>
              <w:bottom w:val="single" w:sz="4" w:space="0" w:color="D9E2F3"/>
              <w:right w:val="single" w:sz="4" w:space="0" w:color="D9E2F3"/>
            </w:tcBorders>
            <w:vAlign w:val="center"/>
          </w:tcPr>
          <w:p w14:paraId="6AFD3027" w14:textId="77777777" w:rsidR="00B26C8C" w:rsidRDefault="00000000">
            <w:pPr>
              <w:spacing w:after="0"/>
            </w:pPr>
            <w:r>
              <w:rPr>
                <w:sz w:val="17"/>
              </w:rPr>
              <w:t>Appropriate for medium-term planning, but should be updated as new monthly data arrives.</w:t>
            </w:r>
          </w:p>
        </w:tc>
      </w:tr>
      <w:tr w:rsidR="00B26C8C" w14:paraId="0A708A45"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7575AD59" w14:textId="77777777" w:rsidR="00B26C8C" w:rsidRDefault="00000000">
            <w:pPr>
              <w:spacing w:after="0"/>
            </w:pPr>
            <w:r>
              <w:rPr>
                <w:sz w:val="17"/>
              </w:rPr>
              <w:t>Confidence interval</w:t>
            </w:r>
          </w:p>
        </w:tc>
        <w:tc>
          <w:tcPr>
            <w:tcW w:w="3360" w:type="dxa"/>
            <w:tcBorders>
              <w:top w:val="single" w:sz="4" w:space="0" w:color="D9E2F3"/>
              <w:left w:val="single" w:sz="4" w:space="0" w:color="D9E2F3"/>
              <w:bottom w:val="single" w:sz="4" w:space="0" w:color="D9E2F3"/>
              <w:right w:val="single" w:sz="4" w:space="0" w:color="D9E2F3"/>
            </w:tcBorders>
            <w:vAlign w:val="center"/>
          </w:tcPr>
          <w:p w14:paraId="3E882CEA" w14:textId="77777777" w:rsidR="00B26C8C" w:rsidRDefault="00000000">
            <w:pPr>
              <w:spacing w:after="0"/>
            </w:pPr>
            <w:r>
              <w:rPr>
                <w:sz w:val="17"/>
              </w:rPr>
              <w:t>80% CI shown graphically</w:t>
            </w:r>
          </w:p>
        </w:tc>
        <w:tc>
          <w:tcPr>
            <w:tcW w:w="3360" w:type="dxa"/>
            <w:tcBorders>
              <w:top w:val="single" w:sz="4" w:space="0" w:color="D9E2F3"/>
              <w:left w:val="single" w:sz="4" w:space="0" w:color="D9E2F3"/>
              <w:bottom w:val="single" w:sz="4" w:space="0" w:color="D9E2F3"/>
              <w:right w:val="single" w:sz="4" w:space="0" w:color="D9E2F3"/>
            </w:tcBorders>
            <w:vAlign w:val="center"/>
          </w:tcPr>
          <w:p w14:paraId="092FD0F9" w14:textId="77777777" w:rsidR="00B26C8C" w:rsidRDefault="00000000">
            <w:pPr>
              <w:spacing w:after="0"/>
            </w:pPr>
            <w:r>
              <w:rPr>
                <w:sz w:val="17"/>
              </w:rPr>
              <w:t>Uncertainty widens over the horizon, so decisions should include buffers rather than point forecasts only.</w:t>
            </w:r>
          </w:p>
        </w:tc>
      </w:tr>
    </w:tbl>
    <w:p w14:paraId="1A753A2F" w14:textId="77777777" w:rsidR="00B26C8C" w:rsidRDefault="00000000">
      <w:pPr>
        <w:spacing w:after="160"/>
        <w:jc w:val="center"/>
      </w:pPr>
      <w:r>
        <w:rPr>
          <w:i/>
          <w:color w:val="595959"/>
          <w:sz w:val="18"/>
        </w:rPr>
        <w:t>Table 6. Forecast model interpretation based on the visible notebook output.</w:t>
      </w:r>
    </w:p>
    <w:p w14:paraId="1E45CAA2" w14:textId="77777777" w:rsidR="00B26C8C" w:rsidRDefault="00000000">
      <w:r>
        <w:t>The two forecast models provide complementary views. Holt-Winters is easier to use operationally because it directly models level, trend and seasonality and remains numerically stable. SARIMA provides a formal time-series cross-check by modeling autoregressive and moving-average structure. In this run, the non-seasonal AR and MA terms are statistically significant, while the seasonal terms are not, so SARIMA should be interpreted cautiously.</w:t>
      </w:r>
    </w:p>
    <w:p w14:paraId="72BF9679" w14:textId="77777777" w:rsidR="00B26C8C" w:rsidRDefault="00B26C8C"/>
    <w:p w14:paraId="3AFCA1A9" w14:textId="77777777" w:rsidR="00B26C8C" w:rsidRDefault="00000000">
      <w:pPr>
        <w:pStyle w:val="Heading1"/>
      </w:pPr>
      <w:r>
        <w:lastRenderedPageBreak/>
        <w:t>8. Model Validity, Limitations and Recommendations</w:t>
      </w:r>
    </w:p>
    <w:p w14:paraId="08D2940F" w14:textId="77777777" w:rsidR="00B26C8C" w:rsidRDefault="00000000">
      <w:r>
        <w:t>Overall, the analysis is valid as an exploratory modeling exercise. It answers the assignment requirements by producing a heatmap, comparing two linear regression models, analyzing trend and seasonality, and generating a six-month forecast. However, the results should be interpreted with statistical caution before being used as an automated production system.</w:t>
      </w:r>
    </w:p>
    <w:tbl>
      <w:tblPr>
        <w:tblW w:w="0" w:type="auto"/>
        <w:jc w:val="center"/>
        <w:tblLook w:val="04A0" w:firstRow="1" w:lastRow="0" w:firstColumn="1" w:lastColumn="0" w:noHBand="0" w:noVBand="1"/>
      </w:tblPr>
      <w:tblGrid>
        <w:gridCol w:w="3356"/>
        <w:gridCol w:w="3357"/>
        <w:gridCol w:w="3357"/>
      </w:tblGrid>
      <w:tr w:rsidR="00B26C8C" w14:paraId="72566875" w14:textId="77777777">
        <w:trPr>
          <w:jc w:val="center"/>
        </w:trPr>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1186B7C1" w14:textId="77777777" w:rsidR="00B26C8C" w:rsidRDefault="00000000">
            <w:pPr>
              <w:spacing w:after="0"/>
            </w:pPr>
            <w:r>
              <w:rPr>
                <w:b/>
                <w:color w:val="FFFFFF"/>
                <w:sz w:val="17"/>
              </w:rPr>
              <w:t>Issue</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78441258" w14:textId="77777777" w:rsidR="00B26C8C" w:rsidRDefault="00000000">
            <w:pPr>
              <w:spacing w:after="0"/>
            </w:pPr>
            <w:r>
              <w:rPr>
                <w:b/>
                <w:color w:val="FFFFFF"/>
                <w:sz w:val="17"/>
              </w:rPr>
              <w:t>Why it matters</w:t>
            </w:r>
          </w:p>
        </w:tc>
        <w:tc>
          <w:tcPr>
            <w:tcW w:w="3360" w:type="dxa"/>
            <w:tcBorders>
              <w:top w:val="single" w:sz="4" w:space="0" w:color="D9E2F3"/>
              <w:left w:val="single" w:sz="4" w:space="0" w:color="D9E2F3"/>
              <w:bottom w:val="single" w:sz="4" w:space="0" w:color="D9E2F3"/>
              <w:right w:val="single" w:sz="4" w:space="0" w:color="D9E2F3"/>
            </w:tcBorders>
            <w:shd w:val="clear" w:color="auto" w:fill="2F5597"/>
            <w:vAlign w:val="center"/>
          </w:tcPr>
          <w:p w14:paraId="6680B2C0" w14:textId="77777777" w:rsidR="00B26C8C" w:rsidRDefault="00000000">
            <w:pPr>
              <w:spacing w:after="0"/>
            </w:pPr>
            <w:r>
              <w:rPr>
                <w:b/>
                <w:color w:val="FFFFFF"/>
                <w:sz w:val="17"/>
              </w:rPr>
              <w:t>Recommended action</w:t>
            </w:r>
          </w:p>
        </w:tc>
      </w:tr>
      <w:tr w:rsidR="00B26C8C" w14:paraId="5E2C73A7"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77F2423E" w14:textId="77777777" w:rsidR="00B26C8C" w:rsidRDefault="00000000">
            <w:pPr>
              <w:spacing w:after="0"/>
            </w:pPr>
            <w:r>
              <w:rPr>
                <w:sz w:val="17"/>
              </w:rPr>
              <w:t>Random train/test split in regression</w:t>
            </w:r>
          </w:p>
        </w:tc>
        <w:tc>
          <w:tcPr>
            <w:tcW w:w="3360" w:type="dxa"/>
            <w:tcBorders>
              <w:top w:val="single" w:sz="4" w:space="0" w:color="D9E2F3"/>
              <w:left w:val="single" w:sz="4" w:space="0" w:color="D9E2F3"/>
              <w:bottom w:val="single" w:sz="4" w:space="0" w:color="D9E2F3"/>
              <w:right w:val="single" w:sz="4" w:space="0" w:color="D9E2F3"/>
            </w:tcBorders>
            <w:vAlign w:val="center"/>
          </w:tcPr>
          <w:p w14:paraId="23E43A8A" w14:textId="77777777" w:rsidR="00B26C8C" w:rsidRDefault="00000000">
            <w:pPr>
              <w:spacing w:after="0"/>
            </w:pPr>
            <w:r>
              <w:rPr>
                <w:sz w:val="17"/>
              </w:rPr>
              <w:t>Time-series observations are ordered; random splits can overstate model performance.</w:t>
            </w:r>
          </w:p>
        </w:tc>
        <w:tc>
          <w:tcPr>
            <w:tcW w:w="3360" w:type="dxa"/>
            <w:tcBorders>
              <w:top w:val="single" w:sz="4" w:space="0" w:color="D9E2F3"/>
              <w:left w:val="single" w:sz="4" w:space="0" w:color="D9E2F3"/>
              <w:bottom w:val="single" w:sz="4" w:space="0" w:color="D9E2F3"/>
              <w:right w:val="single" w:sz="4" w:space="0" w:color="D9E2F3"/>
            </w:tcBorders>
            <w:vAlign w:val="center"/>
          </w:tcPr>
          <w:p w14:paraId="05A676E9" w14:textId="77777777" w:rsidR="00B26C8C" w:rsidRDefault="00000000">
            <w:pPr>
              <w:spacing w:after="0"/>
            </w:pPr>
            <w:r>
              <w:rPr>
                <w:sz w:val="17"/>
              </w:rPr>
              <w:t>Use chronological validation or rolling-origin backtesting.</w:t>
            </w:r>
          </w:p>
        </w:tc>
      </w:tr>
      <w:tr w:rsidR="00B26C8C" w14:paraId="76F70C4F"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6A5DB18C" w14:textId="77777777" w:rsidR="00B26C8C" w:rsidRDefault="00000000">
            <w:pPr>
              <w:spacing w:after="0"/>
            </w:pPr>
            <w:r>
              <w:rPr>
                <w:sz w:val="17"/>
              </w:rPr>
              <w:t>Rolling features dominate prediction</w:t>
            </w:r>
          </w:p>
        </w:tc>
        <w:tc>
          <w:tcPr>
            <w:tcW w:w="3360" w:type="dxa"/>
            <w:tcBorders>
              <w:top w:val="single" w:sz="4" w:space="0" w:color="D9E2F3"/>
              <w:left w:val="single" w:sz="4" w:space="0" w:color="D9E2F3"/>
              <w:bottom w:val="single" w:sz="4" w:space="0" w:color="D9E2F3"/>
              <w:right w:val="single" w:sz="4" w:space="0" w:color="D9E2F3"/>
            </w:tcBorders>
            <w:vAlign w:val="center"/>
          </w:tcPr>
          <w:p w14:paraId="27712692" w14:textId="77777777" w:rsidR="00B26C8C" w:rsidRDefault="00000000">
            <w:pPr>
              <w:spacing w:after="0"/>
            </w:pPr>
            <w:r>
              <w:rPr>
                <w:sz w:val="17"/>
              </w:rPr>
              <w:t>They improve accuracy but can create leakage if not shifted correctly.</w:t>
            </w:r>
          </w:p>
        </w:tc>
        <w:tc>
          <w:tcPr>
            <w:tcW w:w="3360" w:type="dxa"/>
            <w:tcBorders>
              <w:top w:val="single" w:sz="4" w:space="0" w:color="D9E2F3"/>
              <w:left w:val="single" w:sz="4" w:space="0" w:color="D9E2F3"/>
              <w:bottom w:val="single" w:sz="4" w:space="0" w:color="D9E2F3"/>
              <w:right w:val="single" w:sz="4" w:space="0" w:color="D9E2F3"/>
            </w:tcBorders>
            <w:vAlign w:val="center"/>
          </w:tcPr>
          <w:p w14:paraId="3AE1794B" w14:textId="77777777" w:rsidR="00B26C8C" w:rsidRDefault="00000000">
            <w:pPr>
              <w:spacing w:after="0"/>
            </w:pPr>
            <w:r>
              <w:rPr>
                <w:sz w:val="17"/>
              </w:rPr>
              <w:t>Ensure all rolling variables are computed with past-only information, preferably shift(1).</w:t>
            </w:r>
          </w:p>
        </w:tc>
      </w:tr>
      <w:tr w:rsidR="00B26C8C" w14:paraId="45CDD687"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7EA01946" w14:textId="77777777" w:rsidR="00B26C8C" w:rsidRDefault="00000000">
            <w:pPr>
              <w:spacing w:after="0"/>
            </w:pPr>
            <w:r>
              <w:rPr>
                <w:sz w:val="17"/>
              </w:rPr>
              <w:t>Count-like target</w:t>
            </w:r>
          </w:p>
        </w:tc>
        <w:tc>
          <w:tcPr>
            <w:tcW w:w="3360" w:type="dxa"/>
            <w:tcBorders>
              <w:top w:val="single" w:sz="4" w:space="0" w:color="D9E2F3"/>
              <w:left w:val="single" w:sz="4" w:space="0" w:color="D9E2F3"/>
              <w:bottom w:val="single" w:sz="4" w:space="0" w:color="D9E2F3"/>
              <w:right w:val="single" w:sz="4" w:space="0" w:color="D9E2F3"/>
            </w:tcBorders>
            <w:vAlign w:val="center"/>
          </w:tcPr>
          <w:p w14:paraId="5EF685E5" w14:textId="77777777" w:rsidR="00B26C8C" w:rsidRDefault="00000000">
            <w:pPr>
              <w:spacing w:after="0"/>
            </w:pPr>
            <w:r>
              <w:rPr>
                <w:sz w:val="17"/>
              </w:rPr>
              <w:t>Linear regression assumes continuous errors and normal residuals.</w:t>
            </w:r>
          </w:p>
        </w:tc>
        <w:tc>
          <w:tcPr>
            <w:tcW w:w="3360" w:type="dxa"/>
            <w:tcBorders>
              <w:top w:val="single" w:sz="4" w:space="0" w:color="D9E2F3"/>
              <w:left w:val="single" w:sz="4" w:space="0" w:color="D9E2F3"/>
              <w:bottom w:val="single" w:sz="4" w:space="0" w:color="D9E2F3"/>
              <w:right w:val="single" w:sz="4" w:space="0" w:color="D9E2F3"/>
            </w:tcBorders>
            <w:vAlign w:val="center"/>
          </w:tcPr>
          <w:p w14:paraId="327B7896" w14:textId="77777777" w:rsidR="00B26C8C" w:rsidRDefault="00000000">
            <w:pPr>
              <w:spacing w:after="0"/>
            </w:pPr>
            <w:r>
              <w:rPr>
                <w:sz w:val="17"/>
              </w:rPr>
              <w:t>Compare against Poisson/Negative Binomial GLM, Random Forest, LightGBM or XGBoost.</w:t>
            </w:r>
          </w:p>
        </w:tc>
      </w:tr>
      <w:tr w:rsidR="00B26C8C" w14:paraId="1BD3A2B8"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04ABD030" w14:textId="77777777" w:rsidR="00B26C8C" w:rsidRDefault="00000000">
            <w:pPr>
              <w:spacing w:after="0"/>
            </w:pPr>
            <w:r>
              <w:rPr>
                <w:sz w:val="17"/>
              </w:rPr>
              <w:t>Unobserved drivers</w:t>
            </w:r>
          </w:p>
        </w:tc>
        <w:tc>
          <w:tcPr>
            <w:tcW w:w="3360" w:type="dxa"/>
            <w:tcBorders>
              <w:top w:val="single" w:sz="4" w:space="0" w:color="D9E2F3"/>
              <w:left w:val="single" w:sz="4" w:space="0" w:color="D9E2F3"/>
              <w:bottom w:val="single" w:sz="4" w:space="0" w:color="D9E2F3"/>
              <w:right w:val="single" w:sz="4" w:space="0" w:color="D9E2F3"/>
            </w:tcBorders>
            <w:vAlign w:val="center"/>
          </w:tcPr>
          <w:p w14:paraId="4E5E7E6E" w14:textId="77777777" w:rsidR="00B26C8C" w:rsidRDefault="00000000">
            <w:pPr>
              <w:spacing w:after="0"/>
            </w:pPr>
            <w:r>
              <w:rPr>
                <w:sz w:val="17"/>
              </w:rPr>
              <w:t>Promotions, stockouts, inventory availability and local events can explain spikes.</w:t>
            </w:r>
          </w:p>
        </w:tc>
        <w:tc>
          <w:tcPr>
            <w:tcW w:w="3360" w:type="dxa"/>
            <w:tcBorders>
              <w:top w:val="single" w:sz="4" w:space="0" w:color="D9E2F3"/>
              <w:left w:val="single" w:sz="4" w:space="0" w:color="D9E2F3"/>
              <w:bottom w:val="single" w:sz="4" w:space="0" w:color="D9E2F3"/>
              <w:right w:val="single" w:sz="4" w:space="0" w:color="D9E2F3"/>
            </w:tcBorders>
            <w:vAlign w:val="center"/>
          </w:tcPr>
          <w:p w14:paraId="1A251642" w14:textId="77777777" w:rsidR="00B26C8C" w:rsidRDefault="00000000">
            <w:pPr>
              <w:spacing w:after="0"/>
            </w:pPr>
            <w:r>
              <w:rPr>
                <w:sz w:val="17"/>
              </w:rPr>
              <w:t>Add promotion flags, inventory data and branch operation context.</w:t>
            </w:r>
          </w:p>
        </w:tc>
      </w:tr>
      <w:tr w:rsidR="00B26C8C" w14:paraId="56E7E6B6"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21161DED" w14:textId="77777777" w:rsidR="00B26C8C" w:rsidRDefault="00000000">
            <w:pPr>
              <w:spacing w:after="0"/>
            </w:pPr>
            <w:r>
              <w:rPr>
                <w:sz w:val="17"/>
              </w:rPr>
              <w:t>Category encoding</w:t>
            </w:r>
          </w:p>
        </w:tc>
        <w:tc>
          <w:tcPr>
            <w:tcW w:w="3360" w:type="dxa"/>
            <w:tcBorders>
              <w:top w:val="single" w:sz="4" w:space="0" w:color="D9E2F3"/>
              <w:left w:val="single" w:sz="4" w:space="0" w:color="D9E2F3"/>
              <w:bottom w:val="single" w:sz="4" w:space="0" w:color="D9E2F3"/>
              <w:right w:val="single" w:sz="4" w:space="0" w:color="D9E2F3"/>
            </w:tcBorders>
            <w:vAlign w:val="center"/>
          </w:tcPr>
          <w:p w14:paraId="6886BF99" w14:textId="77777777" w:rsidR="00B26C8C" w:rsidRDefault="00000000">
            <w:pPr>
              <w:spacing w:after="0"/>
            </w:pPr>
            <w:r>
              <w:rPr>
                <w:sz w:val="17"/>
              </w:rPr>
              <w:t>sucursal_code and season_code impose artificial ordering.</w:t>
            </w:r>
          </w:p>
        </w:tc>
        <w:tc>
          <w:tcPr>
            <w:tcW w:w="3360" w:type="dxa"/>
            <w:tcBorders>
              <w:top w:val="single" w:sz="4" w:space="0" w:color="D9E2F3"/>
              <w:left w:val="single" w:sz="4" w:space="0" w:color="D9E2F3"/>
              <w:bottom w:val="single" w:sz="4" w:space="0" w:color="D9E2F3"/>
              <w:right w:val="single" w:sz="4" w:space="0" w:color="D9E2F3"/>
            </w:tcBorders>
            <w:vAlign w:val="center"/>
          </w:tcPr>
          <w:p w14:paraId="14713AC2" w14:textId="77777777" w:rsidR="00B26C8C" w:rsidRDefault="00000000">
            <w:pPr>
              <w:spacing w:after="0"/>
            </w:pPr>
            <w:r>
              <w:rPr>
                <w:sz w:val="17"/>
              </w:rPr>
              <w:t>Use one-hot encoding or models that handle categorical variables safely.</w:t>
            </w:r>
          </w:p>
        </w:tc>
      </w:tr>
      <w:tr w:rsidR="00B26C8C" w14:paraId="4DC484AB" w14:textId="77777777">
        <w:trPr>
          <w:jc w:val="center"/>
        </w:trPr>
        <w:tc>
          <w:tcPr>
            <w:tcW w:w="3360" w:type="dxa"/>
            <w:tcBorders>
              <w:top w:val="single" w:sz="4" w:space="0" w:color="D9E2F3"/>
              <w:left w:val="single" w:sz="4" w:space="0" w:color="D9E2F3"/>
              <w:bottom w:val="single" w:sz="4" w:space="0" w:color="D9E2F3"/>
              <w:right w:val="single" w:sz="4" w:space="0" w:color="D9E2F3"/>
            </w:tcBorders>
            <w:vAlign w:val="center"/>
          </w:tcPr>
          <w:p w14:paraId="198AC3D7" w14:textId="77777777" w:rsidR="00B26C8C" w:rsidRDefault="00000000">
            <w:pPr>
              <w:spacing w:after="0"/>
            </w:pPr>
            <w:r>
              <w:rPr>
                <w:sz w:val="17"/>
              </w:rPr>
              <w:t>Sales vs. true demand</w:t>
            </w:r>
          </w:p>
        </w:tc>
        <w:tc>
          <w:tcPr>
            <w:tcW w:w="3360" w:type="dxa"/>
            <w:tcBorders>
              <w:top w:val="single" w:sz="4" w:space="0" w:color="D9E2F3"/>
              <w:left w:val="single" w:sz="4" w:space="0" w:color="D9E2F3"/>
              <w:bottom w:val="single" w:sz="4" w:space="0" w:color="D9E2F3"/>
              <w:right w:val="single" w:sz="4" w:space="0" w:color="D9E2F3"/>
            </w:tcBorders>
            <w:vAlign w:val="center"/>
          </w:tcPr>
          <w:p w14:paraId="7B87BBE9" w14:textId="77777777" w:rsidR="00B26C8C" w:rsidRDefault="00000000">
            <w:pPr>
              <w:spacing w:after="0"/>
            </w:pPr>
            <w:r>
              <w:rPr>
                <w:sz w:val="17"/>
              </w:rPr>
              <w:t>Zero sales can mean no demand, no stock, or closure.</w:t>
            </w:r>
          </w:p>
        </w:tc>
        <w:tc>
          <w:tcPr>
            <w:tcW w:w="3360" w:type="dxa"/>
            <w:tcBorders>
              <w:top w:val="single" w:sz="4" w:space="0" w:color="D9E2F3"/>
              <w:left w:val="single" w:sz="4" w:space="0" w:color="D9E2F3"/>
              <w:bottom w:val="single" w:sz="4" w:space="0" w:color="D9E2F3"/>
              <w:right w:val="single" w:sz="4" w:space="0" w:color="D9E2F3"/>
            </w:tcBorders>
            <w:vAlign w:val="center"/>
          </w:tcPr>
          <w:p w14:paraId="2140CB50" w14:textId="77777777" w:rsidR="00B26C8C" w:rsidRDefault="00000000">
            <w:pPr>
              <w:spacing w:after="0"/>
            </w:pPr>
            <w:r>
              <w:rPr>
                <w:sz w:val="17"/>
              </w:rPr>
              <w:t>Integrate inventory and stockout data before deployment.</w:t>
            </w:r>
          </w:p>
        </w:tc>
      </w:tr>
    </w:tbl>
    <w:p w14:paraId="07226E57" w14:textId="77777777" w:rsidR="00B26C8C" w:rsidRDefault="00000000">
      <w:pPr>
        <w:spacing w:after="160"/>
        <w:jc w:val="center"/>
      </w:pPr>
      <w:r>
        <w:rPr>
          <w:i/>
          <w:color w:val="595959"/>
          <w:sz w:val="18"/>
        </w:rPr>
        <w:t>Table 7. Main limitations and recommended improvements.</w:t>
      </w:r>
    </w:p>
    <w:p w14:paraId="4EEFA764" w14:textId="77777777" w:rsidR="00B26C8C" w:rsidRDefault="00000000">
      <w:pPr>
        <w:pStyle w:val="ListBullet"/>
        <w:spacing w:after="60"/>
      </w:pPr>
      <w:r>
        <w:rPr>
          <w:sz w:val="20"/>
        </w:rPr>
        <w:t>Use Model B as a short-horizon baseline, not as the final production model.</w:t>
      </w:r>
    </w:p>
    <w:p w14:paraId="5AF59279" w14:textId="77777777" w:rsidR="00B26C8C" w:rsidRDefault="00000000">
      <w:pPr>
        <w:pStyle w:val="ListBullet"/>
        <w:spacing w:after="60"/>
      </w:pPr>
      <w:r>
        <w:rPr>
          <w:sz w:val="20"/>
        </w:rPr>
        <w:t>Use Holt-Winters as a stable medium-term forecast reference, with SARIMA as a diagnostic cross-check.</w:t>
      </w:r>
    </w:p>
    <w:p w14:paraId="1A01226C" w14:textId="77777777" w:rsidR="00B26C8C" w:rsidRDefault="00000000">
      <w:pPr>
        <w:pStyle w:val="ListBullet"/>
        <w:spacing w:after="60"/>
      </w:pPr>
      <w:r>
        <w:rPr>
          <w:sz w:val="20"/>
        </w:rPr>
        <w:t>Evaluate future models using MAE/RMSE for unit error and WAPE/MAPE for comparability across products and branches.</w:t>
      </w:r>
    </w:p>
    <w:p w14:paraId="38924361" w14:textId="77777777" w:rsidR="00B26C8C" w:rsidRDefault="00000000">
      <w:pPr>
        <w:pStyle w:val="ListBullet"/>
        <w:spacing w:after="60"/>
      </w:pPr>
      <w:r>
        <w:rPr>
          <w:sz w:val="20"/>
        </w:rPr>
        <w:t>Do not convert the forecast directly into exact production quantities. Add safety buffers based on waste cost, stockout cost and manager judgment.</w:t>
      </w:r>
    </w:p>
    <w:p w14:paraId="5E2FB847" w14:textId="77777777" w:rsidR="00B26C8C" w:rsidRDefault="00000000">
      <w:pPr>
        <w:pStyle w:val="ListBullet"/>
        <w:spacing w:after="60"/>
      </w:pPr>
      <w:r>
        <w:rPr>
          <w:sz w:val="20"/>
        </w:rPr>
        <w:t>For the next stage, build branch-product-level forecasts instead of a single all-branch forecast for the selected product.</w:t>
      </w:r>
    </w:p>
    <w:p w14:paraId="67BD660A" w14:textId="77777777" w:rsidR="00B26C8C" w:rsidRDefault="00000000">
      <w:pPr>
        <w:pStyle w:val="Heading1"/>
      </w:pPr>
      <w:r>
        <w:t>9. Conclusion</w:t>
      </w:r>
    </w:p>
    <w:p w14:paraId="68007D33" w14:textId="77777777" w:rsidR="00B26C8C" w:rsidRDefault="00000000">
      <w:r>
        <w:t>The Stage 4.3 notebook demonstrates that Panem’s demand for CONCHA VAINILLA can be modeled in a useful way, but not with perfect precision. The correlation analysis shows that recent sales behavior is the strongest available signal. The regression analysis confirms this: adding rolling demand variables greatly improves predictive performance compared with using only calendar, branch and weather variables. At the same time, residual diagnostics show that simple linear regression does not fully match the structure of the data.</w:t>
      </w:r>
    </w:p>
    <w:p w14:paraId="75CFF91F" w14:textId="77777777" w:rsidR="00B26C8C" w:rsidRDefault="00000000">
      <w:r>
        <w:t>The time-series analysis adds an important business perspective. Monthly CONCHA VAINILLA demand shows an upward trend of +93.50 units per month, a seasonal peak around May and a trough around February. This pattern is actionable because production planning can anticipate higher and lower seasonal periods rather than relying only on recent intuition.</w:t>
      </w:r>
    </w:p>
    <w:p w14:paraId="4695142C" w14:textId="77777777" w:rsidR="00B26C8C" w:rsidRDefault="00000000">
      <w:r>
        <w:t>For Panem, the practical interpretation is that forecasting should support managerial decisions instead of replacing them. The forecast should be used as a quantitative baseline, then adjusted using operational knowledge, inventory constraints, upcoming events and safety buffers. The strongest next improvement is to combine this historical sales modeling with inventory and stockout information, because observed sales are not always equal to true customer demand.</w:t>
      </w:r>
    </w:p>
    <w:sectPr w:rsidR="00B26C8C" w:rsidSect="00034616">
      <w:footerReference w:type="default" r:id="rId1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B74D" w14:textId="77777777" w:rsidR="0022397C" w:rsidRDefault="0022397C">
      <w:pPr>
        <w:spacing w:after="0" w:line="240" w:lineRule="auto"/>
      </w:pPr>
      <w:r>
        <w:separator/>
      </w:r>
    </w:p>
  </w:endnote>
  <w:endnote w:type="continuationSeparator" w:id="0">
    <w:p w14:paraId="73FF4507" w14:textId="77777777" w:rsidR="0022397C" w:rsidRDefault="00223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93E4" w14:textId="58C636E9" w:rsidR="00B26C8C" w:rsidRDefault="00B26C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1F27" w14:textId="77777777" w:rsidR="0022397C" w:rsidRDefault="0022397C">
      <w:pPr>
        <w:spacing w:after="0" w:line="240" w:lineRule="auto"/>
      </w:pPr>
      <w:r>
        <w:separator/>
      </w:r>
    </w:p>
  </w:footnote>
  <w:footnote w:type="continuationSeparator" w:id="0">
    <w:p w14:paraId="5155FB43" w14:textId="77777777" w:rsidR="0022397C" w:rsidRDefault="00223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7993">
    <w:abstractNumId w:val="8"/>
  </w:num>
  <w:num w:numId="2" w16cid:durableId="1922182784">
    <w:abstractNumId w:val="6"/>
  </w:num>
  <w:num w:numId="3" w16cid:durableId="723409140">
    <w:abstractNumId w:val="5"/>
  </w:num>
  <w:num w:numId="4" w16cid:durableId="38168745">
    <w:abstractNumId w:val="4"/>
  </w:num>
  <w:num w:numId="5" w16cid:durableId="2115855459">
    <w:abstractNumId w:val="7"/>
  </w:num>
  <w:num w:numId="6" w16cid:durableId="496464876">
    <w:abstractNumId w:val="3"/>
  </w:num>
  <w:num w:numId="7" w16cid:durableId="812332909">
    <w:abstractNumId w:val="2"/>
  </w:num>
  <w:num w:numId="8" w16cid:durableId="1568808730">
    <w:abstractNumId w:val="1"/>
  </w:num>
  <w:num w:numId="9" w16cid:durableId="68447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B0D"/>
    <w:rsid w:val="0015074B"/>
    <w:rsid w:val="0022397C"/>
    <w:rsid w:val="0029639D"/>
    <w:rsid w:val="00326F90"/>
    <w:rsid w:val="00790DFC"/>
    <w:rsid w:val="008012B3"/>
    <w:rsid w:val="00AA1D8D"/>
    <w:rsid w:val="00AD1963"/>
    <w:rsid w:val="00B26C8C"/>
    <w:rsid w:val="00B47730"/>
    <w:rsid w:val="00CB0664"/>
    <w:rsid w:val="00CC1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C98C3"/>
  <w14:defaultImageDpi w14:val="300"/>
  <w15:docId w15:val="{AD6F01F2-A2EB-4FCB-962E-2D73AFA5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2713</Words>
  <Characters>14925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nacho chavez</cp:lastModifiedBy>
  <cp:revision>2</cp:revision>
  <dcterms:created xsi:type="dcterms:W3CDTF">2026-05-19T14:11:00Z</dcterms:created>
  <dcterms:modified xsi:type="dcterms:W3CDTF">2026-05-19T14:11:00Z</dcterms:modified>
  <cp:category/>
</cp:coreProperties>
</file>