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da empresa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Gustavo, Ana e Débora, três estudantes de engenharia de alimentos, uniram-se por uma paixão compartilhada por inovação e tecnologia de alimentos. Suas amizades e habilidades únicas tornaram-se a base para o que viria a ser a GADolac. Ao mergulharem nos estudos, Gustavo, o visionário, propôs a ideia de criar algo especial. Ana, com seu conhecimento técnico, e Débora, com sua habilidade organizacional, viram uma oportunidade única na criação de um produto que fosse mais do que um alimento: seria uma experiência. Com um entusiasmo contagiante, os três amigos começaram a experimentar receitas em suas cozinhas improvisadas. Meses de testes e ajustes levaram à descoberta de uma combinação única de framboesa e baunilha que elevou o simples leite fermentado a algo extraordinário. Com a fórmula secreta em mãos, Gustavo, Ana e Débora oficializaram sua criação e fundaram a GADolac. A empresa nasceu não apenas como um negócio, mas como uma extensão da amizade que os unia. GADolac lançou seu leite fermentado de framboesa e baunilha, frutas vermelhas e chocolate com café. A aceitação foi imediata, conquistando paladares com a fusão única de sabores e a história que cada garrafa contava - a história da amizade que deu origem a cada gole. O sucesso crescente permitiu que a GADolac expandisse sua produção e alcance. Prêmios por inovação e qualidade foram conquistados, solidificando a reputação da empresa no mercado de laticínios. Hoje, GADolac é mais do que uma marca; é um nome familiar. A empresa continua a crescer, lançando novos sabores e mantendo viva a essência da amizade que a originou.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Gustavo, Ana e Débora olham para o futuro com gratidão, sabendo que a jornada está longe de terminar. A GADolac permanece como uma celebração não apenas do sabor, mas também da amizade duradoura que a tornou possível.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Slogan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Adoce sua vida com saúde e amor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Sabores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Framboesa e baunilha, frutas vermelhas e chocolate com café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Preços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Embalagem de 3L (tamanho família)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Framboesa com baunilha: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Frutas vermelhas: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Brigadeiro: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Uva: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Embalagem de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Framboesa com baunilha: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Frutas vermelhas: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Brigadeiro: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Uva: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Fonte de cálcio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Fortalece a umidade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Equilíbrio da flora intestinal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Reduz bactérias nocivas e as toxinas do organismos 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1440" w:hanging="360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