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Caso de estudio: Aplicación de gestión de préstamos de libros (SRS)</w:t>
      </w:r>
    </w:p>
    <w:p>
      <w:pPr>
        <w:jc w:val="center"/>
      </w:pPr>
      <w:r>
        <w:rPr>
          <w:i/>
        </w:rPr>
        <w:t>Asignatura: Ingeniería del Software II · Versión 1.0 · 13/10/2025</w:t>
      </w:r>
    </w:p>
    <w:p/>
    <w:p>
      <w:pPr>
        <w:pStyle w:val="Heading1"/>
      </w:pPr>
      <w:r>
        <w:t>1. Introducción</w:t>
      </w:r>
    </w:p>
    <w:p>
      <w:r>
        <w:t>Este documento especifica los requisitos software (funcionales y no funcionales) de una aplicación básica de gestión de préstamos de libros para una biblioteca. Servirá como base para el diseño, la implementación y la verificación del sistema.</w:t>
      </w:r>
    </w:p>
    <w:p>
      <w:pPr>
        <w:pStyle w:val="Heading1"/>
      </w:pPr>
      <w:r>
        <w:t>2. Alcance</w:t>
      </w:r>
    </w:p>
    <w:p>
      <w:r>
        <w:t>El sistema permitirá gestionar el fondo bibliográfico, los usuarios y el ciclo de vida de los préstamos (altas, renovaciones, devoluciones y multas por retrasos). Quedan fuera de alcance: adquisición de ejemplares, pasarelas de pago externas, y analítica avanzada.</w:t>
      </w:r>
    </w:p>
    <w:p>
      <w:pPr>
        <w:pStyle w:val="Heading1"/>
      </w:pPr>
      <w:r>
        <w:t>3. Actores y roles</w:t>
      </w:r>
    </w:p>
    <w:p>
      <w:r>
        <w:rPr>
          <w:b/>
        </w:rPr>
        <w:t xml:space="preserve">• Bibliotecario/a: </w:t>
      </w:r>
      <w:r>
        <w:t>Gestiona libros, usuarios y préstamos.</w:t>
        <w:br/>
      </w:r>
    </w:p>
    <w:p>
      <w:r>
        <w:rPr>
          <w:b/>
        </w:rPr>
        <w:t xml:space="preserve">• Usuario/a lector/a: </w:t>
      </w:r>
      <w:r>
        <w:t>Consulta el catálogo y gestiona sus préstamos (vía mostrador o portal).</w:t>
      </w:r>
    </w:p>
    <w:p>
      <w:pPr>
        <w:pStyle w:val="Heading1"/>
      </w:pPr>
      <w:r>
        <w:t>4. Supuestos y restricciones</w:t>
      </w:r>
    </w:p>
    <w:p>
      <w:r>
        <w:t>• Identificación de usuarios mediante DNI/NIE o ID institucional.</w:t>
        <w:br/>
        <w:t>• Cada ejemplar tiene un identificador único (código de barras/RFID opcional).</w:t>
        <w:br/>
        <w:t>• Multas calculadas por día de retraso según política configurable.</w:t>
        <w:br/>
        <w:t>• Sistema desplegado como aplicación web con base de datos relacional.</w:t>
      </w:r>
    </w:p>
    <w:p>
      <w:pPr>
        <w:pStyle w:val="Heading1"/>
      </w:pPr>
      <w:r>
        <w:t>5. Requisitos funcionales (RF)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Código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Prioridad</w:t>
            </w:r>
          </w:p>
        </w:tc>
        <w:tc>
          <w:tcPr>
            <w:tcW w:type="dxa" w:w="1728"/>
          </w:tcPr>
          <w:p>
            <w:r>
              <w:t>Tiempo estimado</w:t>
            </w:r>
          </w:p>
        </w:tc>
        <w:tc>
          <w:tcPr>
            <w:tcW w:type="dxa" w:w="1728"/>
          </w:tcPr>
          <w:p>
            <w:r>
              <w:t>Dependencias</w:t>
            </w:r>
          </w:p>
        </w:tc>
      </w:tr>
      <w:tr>
        <w:tc>
          <w:tcPr>
            <w:tcW w:type="dxa" w:w="1728"/>
          </w:tcPr>
          <w:p>
            <w:r>
              <w:t>RF.01</w:t>
            </w:r>
          </w:p>
        </w:tc>
        <w:tc>
          <w:tcPr>
            <w:tcW w:type="dxa" w:w="1728"/>
          </w:tcPr>
          <w:p>
            <w:r>
              <w:t>Dar de alta libros en el fondo bibliográfico con metadatos mínimos (título, autor, ISBN, edición, año, materia, número de ejemplares).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RF.02</w:t>
            </w:r>
          </w:p>
        </w:tc>
        <w:tc>
          <w:tcPr>
            <w:tcW w:type="dxa" w:w="1728"/>
          </w:tcPr>
          <w:p>
            <w:r>
              <w:t>Actualizar información de libros (metadatos, estado, ejemplares disponibles) con control de versiones/cambios.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RF.01</w:t>
            </w:r>
          </w:p>
        </w:tc>
      </w:tr>
      <w:tr>
        <w:tc>
          <w:tcPr>
            <w:tcW w:type="dxa" w:w="1728"/>
          </w:tcPr>
          <w:p>
            <w:r>
              <w:t>RF.03</w:t>
            </w:r>
          </w:p>
        </w:tc>
        <w:tc>
          <w:tcPr>
            <w:tcW w:type="dxa" w:w="1728"/>
          </w:tcPr>
          <w:p>
            <w:r>
              <w:t>Consultas de libros por múltiples criterios (título, autor, ISBN, materia, disponibilidad) con paginación y ordenación.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RF.01</w:t>
            </w:r>
          </w:p>
        </w:tc>
      </w:tr>
      <w:tr>
        <w:tc>
          <w:tcPr>
            <w:tcW w:type="dxa" w:w="1728"/>
          </w:tcPr>
          <w:p>
            <w:r>
              <w:t>RF.04</w:t>
            </w:r>
          </w:p>
        </w:tc>
        <w:tc>
          <w:tcPr>
            <w:tcW w:type="dxa" w:w="1728"/>
          </w:tcPr>
          <w:p>
            <w:r>
              <w:t>Dar de baja libros (lógico/soft delete) con validación de que no existan préstamos activos vinculados.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1.5 días</w:t>
            </w:r>
          </w:p>
        </w:tc>
        <w:tc>
          <w:tcPr>
            <w:tcW w:type="dxa" w:w="1728"/>
          </w:tcPr>
          <w:p>
            <w:r>
              <w:t>RF.01, RF.11</w:t>
            </w:r>
          </w:p>
        </w:tc>
      </w:tr>
      <w:tr>
        <w:tc>
          <w:tcPr>
            <w:tcW w:type="dxa" w:w="1728"/>
          </w:tcPr>
          <w:p>
            <w:r>
              <w:t>RF.05</w:t>
            </w:r>
          </w:p>
        </w:tc>
        <w:tc>
          <w:tcPr>
            <w:tcW w:type="dxa" w:w="1728"/>
          </w:tcPr>
          <w:p>
            <w:r>
              <w:t>Dar de alta usuarios con datos de contacto y categoría (estudiante, PDI/PAS, externo) y políticas de préstamo asociadas.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RF.06</w:t>
            </w:r>
          </w:p>
        </w:tc>
        <w:tc>
          <w:tcPr>
            <w:tcW w:type="dxa" w:w="1728"/>
          </w:tcPr>
          <w:p>
            <w:r>
              <w:t>Actualizar información de usuarios (datos personales, estado activo/inactivo, categoría).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1.5 días</w:t>
            </w:r>
          </w:p>
        </w:tc>
        <w:tc>
          <w:tcPr>
            <w:tcW w:type="dxa" w:w="1728"/>
          </w:tcPr>
          <w:p>
            <w:r>
              <w:t>RF.05</w:t>
            </w:r>
          </w:p>
        </w:tc>
      </w:tr>
      <w:tr>
        <w:tc>
          <w:tcPr>
            <w:tcW w:type="dxa" w:w="1728"/>
          </w:tcPr>
          <w:p>
            <w:r>
              <w:t>RF.07</w:t>
            </w:r>
          </w:p>
        </w:tc>
        <w:tc>
          <w:tcPr>
            <w:tcW w:type="dxa" w:w="1728"/>
          </w:tcPr>
          <w:p>
            <w:r>
              <w:t>Dar de baja usuarios (lógico) con verificación de préstamos/multas pendientes.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1.5 días</w:t>
            </w:r>
          </w:p>
        </w:tc>
        <w:tc>
          <w:tcPr>
            <w:tcW w:type="dxa" w:w="1728"/>
          </w:tcPr>
          <w:p>
            <w:r>
              <w:t>RF.05, RF.11, RF.12</w:t>
            </w:r>
          </w:p>
        </w:tc>
      </w:tr>
      <w:tr>
        <w:tc>
          <w:tcPr>
            <w:tcW w:type="dxa" w:w="1728"/>
          </w:tcPr>
          <w:p>
            <w:r>
              <w:t>RF.08</w:t>
            </w:r>
          </w:p>
        </w:tc>
        <w:tc>
          <w:tcPr>
            <w:tcW w:type="dxa" w:w="1728"/>
          </w:tcPr>
          <w:p>
            <w:r>
              <w:t>Consultas de usuarios por criterios (nombre, DNI/NIE, email, categoría, estado).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1.5 días</w:t>
            </w:r>
          </w:p>
        </w:tc>
        <w:tc>
          <w:tcPr>
            <w:tcW w:type="dxa" w:w="1728"/>
          </w:tcPr>
          <w:p>
            <w:r>
              <w:t>RF.05</w:t>
            </w:r>
          </w:p>
        </w:tc>
      </w:tr>
      <w:tr>
        <w:tc>
          <w:tcPr>
            <w:tcW w:type="dxa" w:w="1728"/>
          </w:tcPr>
          <w:p>
            <w:r>
              <w:t>RF.09</w:t>
            </w:r>
          </w:p>
        </w:tc>
        <w:tc>
          <w:tcPr>
            <w:tcW w:type="dxa" w:w="1728"/>
          </w:tcPr>
          <w:p>
            <w:r>
              <w:t>Dar de alta un préstamo: asignar ejemplar disponible a usuario, registrar fechas (inicio, vencimiento) y política aplicada.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RF.01, RF.05</w:t>
            </w:r>
          </w:p>
        </w:tc>
      </w:tr>
      <w:tr>
        <w:tc>
          <w:tcPr>
            <w:tcW w:type="dxa" w:w="1728"/>
          </w:tcPr>
          <w:p>
            <w:r>
              <w:t>RF.10</w:t>
            </w:r>
          </w:p>
        </w:tc>
        <w:tc>
          <w:tcPr>
            <w:tcW w:type="dxa" w:w="1728"/>
          </w:tcPr>
          <w:p>
            <w:r>
              <w:t>Actualizar un préstamo (renovar, registrar devolución, cambiar fecha por causas justificadas) con reglas de negocio.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RF.09</w:t>
            </w:r>
          </w:p>
        </w:tc>
      </w:tr>
      <w:tr>
        <w:tc>
          <w:tcPr>
            <w:tcW w:type="dxa" w:w="1728"/>
          </w:tcPr>
          <w:p>
            <w:r>
              <w:t>RF.11</w:t>
            </w:r>
          </w:p>
        </w:tc>
        <w:tc>
          <w:tcPr>
            <w:tcW w:type="dxa" w:w="1728"/>
          </w:tcPr>
          <w:p>
            <w:r>
              <w:t>Dar de baja (cerrar) un préstamo al registrarse la devolución; liberar ejemplar y actualizar disponibilidad.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RF.09, RF.10</w:t>
            </w:r>
          </w:p>
        </w:tc>
      </w:tr>
      <w:tr>
        <w:tc>
          <w:tcPr>
            <w:tcW w:type="dxa" w:w="1728"/>
          </w:tcPr>
          <w:p>
            <w:r>
              <w:t>RF.12</w:t>
            </w:r>
          </w:p>
        </w:tc>
        <w:tc>
          <w:tcPr>
            <w:tcW w:type="dxa" w:w="1728"/>
          </w:tcPr>
          <w:p>
            <w:r>
              <w:t>Asociar una multa por retraso al préstamo: cálculo automático por días de retraso y registro de la deuda del usuario.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RF.09, RF.11</w:t>
            </w:r>
          </w:p>
        </w:tc>
      </w:tr>
      <w:tr>
        <w:tc>
          <w:tcPr>
            <w:tcW w:type="dxa" w:w="1728"/>
          </w:tcPr>
          <w:p>
            <w:r>
              <w:t>RF.13</w:t>
            </w:r>
          </w:p>
        </w:tc>
        <w:tc>
          <w:tcPr>
            <w:tcW w:type="dxa" w:w="1728"/>
          </w:tcPr>
          <w:p>
            <w:r>
              <w:t>Notificaciones: avisar por email de vencimiento próximo y de retrasos.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RF.05, RF.09</w:t>
            </w:r>
          </w:p>
        </w:tc>
      </w:tr>
      <w:tr>
        <w:tc>
          <w:tcPr>
            <w:tcW w:type="dxa" w:w="1728"/>
          </w:tcPr>
          <w:p>
            <w:r>
              <w:t>RF.14</w:t>
            </w:r>
          </w:p>
        </w:tc>
        <w:tc>
          <w:tcPr>
            <w:tcW w:type="dxa" w:w="1728"/>
          </w:tcPr>
          <w:p>
            <w:r>
              <w:t>Histórico y trazabilidad de cambios en libros, usuarios y préstamos (auditoría básica).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RF.02, RF.06, RF.10</w:t>
            </w:r>
          </w:p>
        </w:tc>
      </w:tr>
    </w:tbl>
    <w:p>
      <w:pPr>
        <w:pStyle w:val="Heading1"/>
      </w:pPr>
      <w:r>
        <w:t>6. Requisitos no funcionales (RNF)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Código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Prioridad</w:t>
            </w:r>
          </w:p>
        </w:tc>
        <w:tc>
          <w:tcPr>
            <w:tcW w:type="dxa" w:w="1728"/>
          </w:tcPr>
          <w:p>
            <w:r>
              <w:t>Tiempo estimado</w:t>
            </w:r>
          </w:p>
        </w:tc>
        <w:tc>
          <w:tcPr>
            <w:tcW w:type="dxa" w:w="1728"/>
          </w:tcPr>
          <w:p>
            <w:r>
              <w:t>Dependencias</w:t>
            </w:r>
          </w:p>
        </w:tc>
      </w:tr>
      <w:tr>
        <w:tc>
          <w:tcPr>
            <w:tcW w:type="dxa" w:w="1728"/>
          </w:tcPr>
          <w:p>
            <w:r>
              <w:t>RNF.01</w:t>
            </w:r>
          </w:p>
        </w:tc>
        <w:tc>
          <w:tcPr>
            <w:tcW w:type="dxa" w:w="1728"/>
          </w:tcPr>
          <w:p>
            <w:r>
              <w:t>Autenticación y control de acceso por roles (bibliotecario, lector), con sesiones seguras.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RF.05</w:t>
            </w:r>
          </w:p>
        </w:tc>
      </w:tr>
      <w:tr>
        <w:tc>
          <w:tcPr>
            <w:tcW w:type="dxa" w:w="1728"/>
          </w:tcPr>
          <w:p>
            <w:r>
              <w:t>RNF.02</w:t>
            </w:r>
          </w:p>
        </w:tc>
        <w:tc>
          <w:tcPr>
            <w:tcW w:type="dxa" w:w="1728"/>
          </w:tcPr>
          <w:p>
            <w:r>
              <w:t>Protección de datos conforme RGPD: consentimiento, minimización de datos, derechos ARCO, y cifrado en tránsito (TLS 1.2+).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RF.05</w:t>
            </w:r>
          </w:p>
        </w:tc>
      </w:tr>
      <w:tr>
        <w:tc>
          <w:tcPr>
            <w:tcW w:type="dxa" w:w="1728"/>
          </w:tcPr>
          <w:p>
            <w:r>
              <w:t>RNF.03</w:t>
            </w:r>
          </w:p>
        </w:tc>
        <w:tc>
          <w:tcPr>
            <w:tcW w:type="dxa" w:w="1728"/>
          </w:tcPr>
          <w:p>
            <w:r>
              <w:t>Disponibilidad 99,5% mensual en horario laboral (L-V 8:00–20:00).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RNF.04</w:t>
            </w:r>
          </w:p>
        </w:tc>
        <w:tc>
          <w:tcPr>
            <w:tcW w:type="dxa" w:w="1728"/>
          </w:tcPr>
          <w:p>
            <w:r>
              <w:t>Rendimiento: consultas comunes &lt; 1s p95 con base de datos de hasta 50k libros y 20k usuarios.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2 días (optimización)</w:t>
            </w:r>
          </w:p>
        </w:tc>
        <w:tc>
          <w:tcPr>
            <w:tcW w:type="dxa" w:w="1728"/>
          </w:tcPr>
          <w:p>
            <w:r>
              <w:t>RF.03, RF.08</w:t>
            </w:r>
          </w:p>
        </w:tc>
      </w:tr>
      <w:tr>
        <w:tc>
          <w:tcPr>
            <w:tcW w:type="dxa" w:w="1728"/>
          </w:tcPr>
          <w:p>
            <w:r>
              <w:t>RNF.05</w:t>
            </w:r>
          </w:p>
        </w:tc>
        <w:tc>
          <w:tcPr>
            <w:tcW w:type="dxa" w:w="1728"/>
          </w:tcPr>
          <w:p>
            <w:r>
              <w:t>Escalabilidad horizontal básica (stateless app) y conexión a BD escalable.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RNF.06</w:t>
            </w:r>
          </w:p>
        </w:tc>
        <w:tc>
          <w:tcPr>
            <w:tcW w:type="dxa" w:w="1728"/>
          </w:tcPr>
          <w:p>
            <w:r>
              <w:t>Usabilidad: interfaz web responsive, accesible (WCAG 2.1 AA), formularios con validación y mensajes claros.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RF.01–RF.12</w:t>
            </w:r>
          </w:p>
        </w:tc>
      </w:tr>
      <w:tr>
        <w:tc>
          <w:tcPr>
            <w:tcW w:type="dxa" w:w="1728"/>
          </w:tcPr>
          <w:p>
            <w:r>
              <w:t>RNF.07</w:t>
            </w:r>
          </w:p>
        </w:tc>
        <w:tc>
          <w:tcPr>
            <w:tcW w:type="dxa" w:w="1728"/>
          </w:tcPr>
          <w:p>
            <w:r>
              <w:t>Auditabilidad: registro de eventos críticos (altas/bajas/cambios) con usuario, fecha y detalle.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1.5 días</w:t>
            </w:r>
          </w:p>
        </w:tc>
        <w:tc>
          <w:tcPr>
            <w:tcW w:type="dxa" w:w="1728"/>
          </w:tcPr>
          <w:p>
            <w:r>
              <w:t>RF.14</w:t>
            </w:r>
          </w:p>
        </w:tc>
      </w:tr>
      <w:tr>
        <w:tc>
          <w:tcPr>
            <w:tcW w:type="dxa" w:w="1728"/>
          </w:tcPr>
          <w:p>
            <w:r>
              <w:t>RNF.08</w:t>
            </w:r>
          </w:p>
        </w:tc>
        <w:tc>
          <w:tcPr>
            <w:tcW w:type="dxa" w:w="1728"/>
          </w:tcPr>
          <w:p>
            <w:r>
              <w:t>Backup diario y restauración probada (RPO ≤ 24h, RTO ≤ 4h).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1 día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RNF.09</w:t>
            </w:r>
          </w:p>
        </w:tc>
        <w:tc>
          <w:tcPr>
            <w:tcW w:type="dxa" w:w="1728"/>
          </w:tcPr>
          <w:p>
            <w:r>
              <w:t>API interna documentada (OpenAPI) para integrar un futuro portal del lector.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2 días</w:t>
            </w:r>
          </w:p>
        </w:tc>
        <w:tc>
          <w:tcPr>
            <w:tcW w:type="dxa" w:w="1728"/>
          </w:tcPr>
          <w:p>
            <w:r>
              <w:t>RF.03, RF.09</w:t>
            </w:r>
          </w:p>
        </w:tc>
      </w:tr>
      <w:tr>
        <w:tc>
          <w:tcPr>
            <w:tcW w:type="dxa" w:w="1728"/>
          </w:tcPr>
          <w:p>
            <w:r>
              <w:t>RNF.10</w:t>
            </w:r>
          </w:p>
        </w:tc>
        <w:tc>
          <w:tcPr>
            <w:tcW w:type="dxa" w:w="1728"/>
          </w:tcPr>
          <w:p>
            <w:r>
              <w:t>Mantenibilidad: cobertura de pruebas ≥ 70% en lógica de negocio y linters/formatters en CI.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3 días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RNF.11</w:t>
            </w:r>
          </w:p>
        </w:tc>
        <w:tc>
          <w:tcPr>
            <w:tcW w:type="dxa" w:w="1728"/>
          </w:tcPr>
          <w:p>
            <w:r>
              <w:t>Internacionalización (i18n) preparada; textos externalizados.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1 día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RNF.12</w:t>
            </w:r>
          </w:p>
        </w:tc>
        <w:tc>
          <w:tcPr>
            <w:tcW w:type="dxa" w:w="1728"/>
          </w:tcPr>
          <w:p>
            <w:r>
              <w:t>Registro y gestión de configuración centralizada por entorno (dev/test/prod).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1 día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7. Trazabilidad (alto nivel)</w:t>
      </w:r>
    </w:p>
    <w:p>
      <w:r>
        <w:t>• Gestión de fondos bibliográficos → RF.01–RF.04</w:t>
        <w:br/>
        <w:t>• Gestión de usuarios → RF.05–RF.08</w:t>
        <w:br/>
        <w:t>• Gestión de préstamos y multas → RF.09–RF.12</w:t>
        <w:br/>
        <w:t>• Soportes transversales → RF.13–RF.14, RNF.*</w:t>
      </w:r>
    </w:p>
    <w:p>
      <w:pPr>
        <w:pStyle w:val="Heading1"/>
      </w:pPr>
      <w:r>
        <w:t>8. Criterios de aceptación generales</w:t>
      </w:r>
    </w:p>
    <w:p>
      <w:r>
        <w:t>1) Todos los flujos RF.01–RF.12 disponen de pruebas funcionales que cubren casos nominales y de error.</w:t>
        <w:br/>
        <w:t>2) Cumplimiento RNF.02 (RGPD) verificado mediante checklist.</w:t>
        <w:br/>
        <w:t>3) Rendimiento RNF.04 medido con dataset de prueba representativo.</w:t>
        <w:br/>
        <w:t>4) Auditoría RNF.07 registra usuario, timestamp y entidad afectada.</w:t>
      </w:r>
    </w:p>
    <w:p>
      <w:pPr>
        <w:pStyle w:val="Heading2"/>
      </w:pPr>
      <w:r>
        <w:t>5.x Vista de requisitos: Diagrama general de casos de uso</w:t>
      </w:r>
    </w:p>
    <w:p>
      <w:pPr>
        <w:jc w:val="left"/>
      </w:pPr>
      <w:r>
        <w:t>El siguiente diagrama muestra los actores principales y su asociación con los casos de uso a alto nivel.</w:t>
      </w:r>
    </w:p>
    <w:p>
      <w:r>
        <w:drawing>
          <wp:inline xmlns:a="http://schemas.openxmlformats.org/drawingml/2006/main" xmlns:pic="http://schemas.openxmlformats.org/drawingml/2006/picture">
            <wp:extent cx="6858000" cy="4408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casos_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Análisis del sistema (MVC monolítico multicapa)</w:t>
      </w:r>
    </w:p>
    <w:p>
      <w:pPr>
        <w:pStyle w:val="Heading2"/>
      </w:pPr>
      <w:r>
        <w:t>9.1 Actores y casos de uso</w:t>
      </w:r>
    </w:p>
    <w:p>
      <w:r>
        <w:t>Actores principales:</w:t>
        <w:br/>
        <w:t>• Bibliotecario/a: ejecuta casos de uso de gestión (libros, usuarios, préstamos y multas).</w:t>
        <w:br/>
        <w:t>• Usuario/a lector/a: consulta catálogo, solicita/renueva préstamos y recibe notificaciones.</w:t>
        <w:br/>
        <w:t>• Sistema de notificaciones y servidor de correo: sistemas externos integrados para envío de avisos.</w:t>
      </w:r>
    </w:p>
    <w:p>
      <w:r>
        <w:t>Diagrama general de casos de uso (ver imagen):</w:t>
      </w:r>
    </w:p>
    <w:p>
      <w:r>
        <w:drawing>
          <wp:inline xmlns:a="http://schemas.openxmlformats.org/drawingml/2006/main" xmlns:pic="http://schemas.openxmlformats.org/drawingml/2006/picture">
            <wp:extent cx="6858000" cy="44087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casos_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9.2 Clases de análisis y estereotipos</w:t>
      </w:r>
    </w:p>
    <w:p>
      <w:r>
        <w:t>Se identifican las clases de análisis con estereotipos UML según su rol: &lt;&lt;boundary&gt;&gt;, &lt;&lt;control&gt;&gt;, &lt;&lt;entity&gt;&gt;.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Estereotipo</w:t>
            </w:r>
          </w:p>
        </w:tc>
        <w:tc>
          <w:tcPr>
            <w:tcW w:type="dxa" w:w="2880"/>
          </w:tcPr>
          <w:p>
            <w:r>
              <w:t>Responsabilidad principal</w:t>
            </w:r>
          </w:p>
        </w:tc>
      </w:tr>
      <w:tr>
        <w:tc>
          <w:tcPr>
            <w:tcW w:type="dxa" w:w="2880"/>
          </w:tcPr>
          <w:p>
            <w:r>
              <w:t>AuthController</w:t>
            </w:r>
          </w:p>
        </w:tc>
        <w:tc>
          <w:tcPr>
            <w:tcW w:type="dxa" w:w="2880"/>
          </w:tcPr>
          <w:p>
            <w:r>
              <w:t>&lt;&lt;boundary&gt;&gt;</w:t>
            </w:r>
          </w:p>
        </w:tc>
        <w:tc>
          <w:tcPr>
            <w:tcW w:type="dxa" w:w="2880"/>
          </w:tcPr>
          <w:p>
            <w:r>
              <w:t>Gestionar autenticación y sesiones.</w:t>
            </w:r>
          </w:p>
        </w:tc>
      </w:tr>
      <w:tr>
        <w:tc>
          <w:tcPr>
            <w:tcW w:type="dxa" w:w="2880"/>
          </w:tcPr>
          <w:p>
            <w:r>
              <w:t>BookController</w:t>
            </w:r>
          </w:p>
        </w:tc>
        <w:tc>
          <w:tcPr>
            <w:tcW w:type="dxa" w:w="2880"/>
          </w:tcPr>
          <w:p>
            <w:r>
              <w:t>&lt;&lt;boundary&gt;&gt;</w:t>
            </w:r>
          </w:p>
        </w:tc>
        <w:tc>
          <w:tcPr>
            <w:tcW w:type="dxa" w:w="2880"/>
          </w:tcPr>
          <w:p>
            <w:r>
              <w:t>Endpoints/vistas para gestión de libros.</w:t>
            </w:r>
          </w:p>
        </w:tc>
      </w:tr>
      <w:tr>
        <w:tc>
          <w:tcPr>
            <w:tcW w:type="dxa" w:w="2880"/>
          </w:tcPr>
          <w:p>
            <w:r>
              <w:t>UserController</w:t>
            </w:r>
          </w:p>
        </w:tc>
        <w:tc>
          <w:tcPr>
            <w:tcW w:type="dxa" w:w="2880"/>
          </w:tcPr>
          <w:p>
            <w:r>
              <w:t>&lt;&lt;boundary&gt;&gt;</w:t>
            </w:r>
          </w:p>
        </w:tc>
        <w:tc>
          <w:tcPr>
            <w:tcW w:type="dxa" w:w="2880"/>
          </w:tcPr>
          <w:p>
            <w:r>
              <w:t>Endpoints/vistas para gestión de usuarios.</w:t>
            </w:r>
          </w:p>
        </w:tc>
      </w:tr>
      <w:tr>
        <w:tc>
          <w:tcPr>
            <w:tcW w:type="dxa" w:w="2880"/>
          </w:tcPr>
          <w:p>
            <w:r>
              <w:t>LoanController</w:t>
            </w:r>
          </w:p>
        </w:tc>
        <w:tc>
          <w:tcPr>
            <w:tcW w:type="dxa" w:w="2880"/>
          </w:tcPr>
          <w:p>
            <w:r>
              <w:t>&lt;&lt;boundary&gt;&gt;</w:t>
            </w:r>
          </w:p>
        </w:tc>
        <w:tc>
          <w:tcPr>
            <w:tcW w:type="dxa" w:w="2880"/>
          </w:tcPr>
          <w:p>
            <w:r>
              <w:t>Endpoints/vistas para préstamos y renovaciones.</w:t>
            </w:r>
          </w:p>
        </w:tc>
      </w:tr>
      <w:tr>
        <w:tc>
          <w:tcPr>
            <w:tcW w:type="dxa" w:w="2880"/>
          </w:tcPr>
          <w:p>
            <w:r>
              <w:t>NotificationAdapter</w:t>
            </w:r>
          </w:p>
        </w:tc>
        <w:tc>
          <w:tcPr>
            <w:tcW w:type="dxa" w:w="2880"/>
          </w:tcPr>
          <w:p>
            <w:r>
              <w:t>&lt;&lt;boundary&gt;&gt;</w:t>
            </w:r>
          </w:p>
        </w:tc>
        <w:tc>
          <w:tcPr>
            <w:tcW w:type="dxa" w:w="2880"/>
          </w:tcPr>
          <w:p>
            <w:r>
              <w:t>Interfaz con el servidor de correo.</w:t>
            </w:r>
          </w:p>
        </w:tc>
      </w:tr>
      <w:tr>
        <w:tc>
          <w:tcPr>
            <w:tcW w:type="dxa" w:w="2880"/>
          </w:tcPr>
          <w:p>
            <w:r>
              <w:t>CatalogService</w:t>
            </w:r>
          </w:p>
        </w:tc>
        <w:tc>
          <w:tcPr>
            <w:tcW w:type="dxa" w:w="2880"/>
          </w:tcPr>
          <w:p>
            <w:r>
              <w:t>&lt;&lt;control&gt;&gt;</w:t>
            </w:r>
          </w:p>
        </w:tc>
        <w:tc>
          <w:tcPr>
            <w:tcW w:type="dxa" w:w="2880"/>
          </w:tcPr>
          <w:p>
            <w:r>
              <w:t>Orquestación de consultas del catálogo.</w:t>
            </w:r>
          </w:p>
        </w:tc>
      </w:tr>
      <w:tr>
        <w:tc>
          <w:tcPr>
            <w:tcW w:type="dxa" w:w="2880"/>
          </w:tcPr>
          <w:p>
            <w:r>
              <w:t>UserService</w:t>
            </w:r>
          </w:p>
        </w:tc>
        <w:tc>
          <w:tcPr>
            <w:tcW w:type="dxa" w:w="2880"/>
          </w:tcPr>
          <w:p>
            <w:r>
              <w:t>&lt;&lt;control&gt;&gt;</w:t>
            </w:r>
          </w:p>
        </w:tc>
        <w:tc>
          <w:tcPr>
            <w:tcW w:type="dxa" w:w="2880"/>
          </w:tcPr>
          <w:p>
            <w:r>
              <w:t>Reglas de negocio de usuarios.</w:t>
            </w:r>
          </w:p>
        </w:tc>
      </w:tr>
      <w:tr>
        <w:tc>
          <w:tcPr>
            <w:tcW w:type="dxa" w:w="2880"/>
          </w:tcPr>
          <w:p>
            <w:r>
              <w:t>LoanService</w:t>
            </w:r>
          </w:p>
        </w:tc>
        <w:tc>
          <w:tcPr>
            <w:tcW w:type="dxa" w:w="2880"/>
          </w:tcPr>
          <w:p>
            <w:r>
              <w:t>&lt;&lt;control&gt;&gt;</w:t>
            </w:r>
          </w:p>
        </w:tc>
        <w:tc>
          <w:tcPr>
            <w:tcW w:type="dxa" w:w="2880"/>
          </w:tcPr>
          <w:p>
            <w:r>
              <w:t>Reglas de negocio de préstamos (renovaciones, cierres).</w:t>
            </w:r>
          </w:p>
        </w:tc>
      </w:tr>
      <w:tr>
        <w:tc>
          <w:tcPr>
            <w:tcW w:type="dxa" w:w="2880"/>
          </w:tcPr>
          <w:p>
            <w:r>
              <w:t>FineService</w:t>
            </w:r>
          </w:p>
        </w:tc>
        <w:tc>
          <w:tcPr>
            <w:tcW w:type="dxa" w:w="2880"/>
          </w:tcPr>
          <w:p>
            <w:r>
              <w:t>&lt;&lt;control&gt;&gt;</w:t>
            </w:r>
          </w:p>
        </w:tc>
        <w:tc>
          <w:tcPr>
            <w:tcW w:type="dxa" w:w="2880"/>
          </w:tcPr>
          <w:p>
            <w:r>
              <w:t>Cálculo de multas por retrasos.</w:t>
            </w:r>
          </w:p>
        </w:tc>
      </w:tr>
      <w:tr>
        <w:tc>
          <w:tcPr>
            <w:tcW w:type="dxa" w:w="2880"/>
          </w:tcPr>
          <w:p>
            <w:r>
              <w:t>Book</w:t>
            </w:r>
          </w:p>
        </w:tc>
        <w:tc>
          <w:tcPr>
            <w:tcW w:type="dxa" w:w="2880"/>
          </w:tcPr>
          <w:p>
            <w:r>
              <w:t>&lt;&lt;entity&gt;&gt;</w:t>
            </w:r>
          </w:p>
        </w:tc>
        <w:tc>
          <w:tcPr>
            <w:tcW w:type="dxa" w:w="2880"/>
          </w:tcPr>
          <w:p>
            <w:r>
              <w:t>Entidad de libro con metadatos.</w:t>
            </w:r>
          </w:p>
        </w:tc>
      </w:tr>
      <w:tr>
        <w:tc>
          <w:tcPr>
            <w:tcW w:type="dxa" w:w="2880"/>
          </w:tcPr>
          <w:p>
            <w:r>
              <w:t>Copy</w:t>
            </w:r>
          </w:p>
        </w:tc>
        <w:tc>
          <w:tcPr>
            <w:tcW w:type="dxa" w:w="2880"/>
          </w:tcPr>
          <w:p>
            <w:r>
              <w:t>&lt;&lt;entity&gt;&gt;</w:t>
            </w:r>
          </w:p>
        </w:tc>
        <w:tc>
          <w:tcPr>
            <w:tcW w:type="dxa" w:w="2880"/>
          </w:tcPr>
          <w:p>
            <w:r>
              <w:t>Ejemplar físico asociado a un libro.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&lt;&lt;entity&gt;&gt;</w:t>
            </w:r>
          </w:p>
        </w:tc>
        <w:tc>
          <w:tcPr>
            <w:tcW w:type="dxa" w:w="2880"/>
          </w:tcPr>
          <w:p>
            <w:r>
              <w:t>Datos del usuario y estado de sanciones.</w:t>
            </w:r>
          </w:p>
        </w:tc>
      </w:tr>
      <w:tr>
        <w:tc>
          <w:tcPr>
            <w:tcW w:type="dxa" w:w="2880"/>
          </w:tcPr>
          <w:p>
            <w:r>
              <w:t>Loan</w:t>
            </w:r>
          </w:p>
        </w:tc>
        <w:tc>
          <w:tcPr>
            <w:tcW w:type="dxa" w:w="2880"/>
          </w:tcPr>
          <w:p>
            <w:r>
              <w:t>&lt;&lt;entity&gt;&gt;</w:t>
            </w:r>
          </w:p>
        </w:tc>
        <w:tc>
          <w:tcPr>
            <w:tcW w:type="dxa" w:w="2880"/>
          </w:tcPr>
          <w:p>
            <w:r>
              <w:t>Préstamo con fechas, estado y renovaciones.</w:t>
            </w:r>
          </w:p>
        </w:tc>
      </w:tr>
      <w:tr>
        <w:tc>
          <w:tcPr>
            <w:tcW w:type="dxa" w:w="2880"/>
          </w:tcPr>
          <w:p>
            <w:r>
              <w:t>Fine</w:t>
            </w:r>
          </w:p>
        </w:tc>
        <w:tc>
          <w:tcPr>
            <w:tcW w:type="dxa" w:w="2880"/>
          </w:tcPr>
          <w:p>
            <w:r>
              <w:t>&lt;&lt;entity&gt;&gt;</w:t>
            </w:r>
          </w:p>
        </w:tc>
        <w:tc>
          <w:tcPr>
            <w:tcW w:type="dxa" w:w="2880"/>
          </w:tcPr>
          <w:p>
            <w:r>
              <w:t>Multa vinculada a un préstamo y a un usuario.</w:t>
            </w:r>
          </w:p>
        </w:tc>
      </w:tr>
    </w:tbl>
    <w:p>
      <w:r>
        <w:t>Notas:</w:t>
        <w:br/>
        <w:t>• Los control coordinan transacciones y aplican reglas; las boundary exponen el sistema a actores o externos; las entity encapsulan estado persistente.</w:t>
        <w:br/>
        <w:t>• Repositorios/DAOs se consideran parte de la infraestructura y pueden modelarse como &lt;&lt;boundary&gt;&gt; hacia la capa de datos o omitirse a nivel de análisis.</w:t>
      </w:r>
    </w:p>
    <w:p>
      <w:pPr>
        <w:pStyle w:val="Heading2"/>
      </w:pPr>
      <w:r>
        <w:t>9.3 Diagrama de secuencia (ejemplo: renovación de préstamo)</w:t>
      </w:r>
    </w:p>
    <w:p>
      <w:r>
        <w:t>Este diagrama ilustra la interacción típica para una renovación de préstamo iniciada por un usuario autenticado. Incluye validaciones de reglas de negocio, persistencia y notificaciones.</w:t>
      </w:r>
    </w:p>
    <w:p>
      <w:r>
        <w:drawing>
          <wp:inline xmlns:a="http://schemas.openxmlformats.org/drawingml/2006/main" xmlns:pic="http://schemas.openxmlformats.org/drawingml/2006/picture">
            <wp:extent cx="6858000" cy="44087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secuencia_renova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10. Diseño: Diagrama de clases por paquetes (MVC)</w:t>
      </w:r>
    </w:p>
    <w:p>
      <w:pPr>
        <w:jc w:val="left"/>
      </w:pPr>
      <w:r>
        <w:t>Se presenta un diagrama de clases de diseño organizado por paquetes y capas, siguiendo el patrón MVC en un monolito multicapa. Incluye controladores (presentación), servicios de aplicación, modelo de dominio (entidades y objetos de valor), y adaptadores/infraestructura.</w:t>
      </w:r>
    </w:p>
    <w:p>
      <w:r>
        <w:drawing>
          <wp:inline xmlns:a="http://schemas.openxmlformats.org/drawingml/2006/main" xmlns:pic="http://schemas.openxmlformats.org/drawingml/2006/picture">
            <wp:extent cx="6858000" cy="47148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diseno_mvc_paquet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10.1 Mapa de clases por paquete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Paquete</w:t>
            </w:r>
          </w:p>
        </w:tc>
        <w:tc>
          <w:tcPr>
            <w:tcW w:type="dxa" w:w="2880"/>
          </w:tcPr>
          <w:p>
            <w:r>
              <w:t>Clases</w:t>
            </w:r>
          </w:p>
        </w:tc>
        <w:tc>
          <w:tcPr>
            <w:tcW w:type="dxa" w:w="2880"/>
          </w:tcPr>
          <w:p>
            <w:r>
              <w:t>Notas de diseño</w:t>
            </w:r>
          </w:p>
        </w:tc>
      </w:tr>
      <w:tr>
        <w:tc>
          <w:tcPr>
            <w:tcW w:type="dxa" w:w="2880"/>
          </w:tcPr>
          <w:p>
            <w:r>
              <w:t>presentation.controllers</w:t>
            </w:r>
          </w:p>
        </w:tc>
        <w:tc>
          <w:tcPr>
            <w:tcW w:type="dxa" w:w="2880"/>
          </w:tcPr>
          <w:p>
            <w:r>
              <w:t>AuthController, BookController, UserController, LoanController, ErrorHandler, ViewRenderer</w:t>
            </w:r>
          </w:p>
        </w:tc>
        <w:tc>
          <w:tcPr>
            <w:tcW w:type="dxa" w:w="2880"/>
          </w:tcPr>
          <w:p>
            <w:r>
              <w:t>Reciben peticiones, validan entrada superficial y delegan en servicios.</w:t>
            </w:r>
          </w:p>
        </w:tc>
      </w:tr>
      <w:tr>
        <w:tc>
          <w:tcPr>
            <w:tcW w:type="dxa" w:w="2880"/>
          </w:tcPr>
          <w:p>
            <w:r>
              <w:t>application.services</w:t>
            </w:r>
          </w:p>
        </w:tc>
        <w:tc>
          <w:tcPr>
            <w:tcW w:type="dxa" w:w="2880"/>
          </w:tcPr>
          <w:p>
            <w:r>
              <w:t>CatalogService, UserService, LoanService, FineService, NotificationService, PolicyService</w:t>
            </w:r>
          </w:p>
        </w:tc>
        <w:tc>
          <w:tcPr>
            <w:tcW w:type="dxa" w:w="2880"/>
          </w:tcPr>
          <w:p>
            <w:r>
              <w:t>Aplican casos de uso, gestionan transacciones e invocan repositorios/adaptadores.</w:t>
            </w:r>
          </w:p>
        </w:tc>
      </w:tr>
      <w:tr>
        <w:tc>
          <w:tcPr>
            <w:tcW w:type="dxa" w:w="2880"/>
          </w:tcPr>
          <w:p>
            <w:r>
              <w:t>domain.model</w:t>
            </w:r>
          </w:p>
        </w:tc>
        <w:tc>
          <w:tcPr>
            <w:tcW w:type="dxa" w:w="2880"/>
          </w:tcPr>
          <w:p>
            <w:r>
              <w:t>Book, Copy, User, Loan, Fine, LoanPolicy, VO: ISBN, Email, Money; Repos: BookRepository, UserRepository, LoanRepository, FineRepository</w:t>
            </w:r>
          </w:p>
        </w:tc>
        <w:tc>
          <w:tcPr>
            <w:tcW w:type="dxa" w:w="2880"/>
          </w:tcPr>
          <w:p>
            <w:r>
              <w:t>Entidades ricas con invariantes; repositorios definidos como interfaces.</w:t>
            </w:r>
          </w:p>
        </w:tc>
      </w:tr>
      <w:tr>
        <w:tc>
          <w:tcPr>
            <w:tcW w:type="dxa" w:w="2880"/>
          </w:tcPr>
          <w:p>
            <w:r>
              <w:t>infrastructure.adapters</w:t>
            </w:r>
          </w:p>
        </w:tc>
        <w:tc>
          <w:tcPr>
            <w:tcW w:type="dxa" w:w="2880"/>
          </w:tcPr>
          <w:p>
            <w:r>
              <w:t>Jpa*Repository, SmtpNotificationAdapter, ClockProvider, IdGenerator</w:t>
            </w:r>
          </w:p>
        </w:tc>
        <w:tc>
          <w:tcPr>
            <w:tcW w:type="dxa" w:w="2880"/>
          </w:tcPr>
          <w:p>
            <w:r>
              <w:t>Implementaciones técnicas (JPA/SMTP/etc.). No contienen reglas de dominio.</w:t>
            </w:r>
          </w:p>
        </w:tc>
      </w:tr>
    </w:tbl>
    <w:p>
      <w:pPr>
        <w:pStyle w:val="Heading2"/>
      </w:pPr>
      <w:r>
        <w:t>10.2 Notas de separación de capas</w:t>
      </w:r>
    </w:p>
    <w:p>
      <w:r>
        <w:t>• Los controladores jamás acceden directamente a la persistencia.</w:t>
        <w:br/>
        <w:t>• Los servicios orquestan reglas (p. ej., cálculo de multas, políticas por categoría) y coordinan repositorios.</w:t>
        <w:br/>
        <w:t>• Las entidades encapsulan lógica y validan invariantes (e.g., no renovar si hay reserva o multa activa).</w:t>
        <w:br/>
        <w:t>• Las implementaciones de repositorio/adaptador se inyectan vía interfaces para aislar el dominio.</w:t>
      </w:r>
    </w:p>
    <w:p>
      <w:pPr>
        <w:pStyle w:val="Heading1"/>
      </w:pPr>
      <w:r>
        <w:t>11. Implementación (estructura de proyecto y convenciones)</w:t>
      </w:r>
    </w:p>
    <w:p>
      <w:r>
        <w:t>Se ha generado un proyecto Maven (archetype 'maven-archetype-quickstart') con groupId='es.uclm.esi.iso2' y artifactId='bibliotecamonolitica', empaquetado 'jar'. La estructura sigue el patrón MVC con separación en paquetes conforme al GroupID.</w:t>
      </w:r>
    </w:p>
    <w:p>
      <w:pPr>
        <w:pStyle w:val="Heading2"/>
      </w:pPr>
      <w:r>
        <w:t>11.1 Estructura de paquetes (conforme al GroupID)</w:t>
      </w:r>
    </w:p>
    <w:p>
      <w:r>
        <w:t>es.uclm.esi.iso2.bibliotecamonolitica.</w:t>
        <w:br/>
        <w:t>├── presentation.controllers</w:t>
        <w:br/>
        <w:t>├── application.services</w:t>
        <w:br/>
        <w:t>├── domain.model</w:t>
        <w:br/>
        <w:t>├── domain.repositories</w:t>
        <w:br/>
        <w:t>├── infrastructure.adapters</w:t>
        <w:br/>
        <w:t>├── common.exceptions</w:t>
        <w:br/>
        <w:t>└── common.util</w:t>
      </w:r>
    </w:p>
    <w:p>
      <w:pPr>
        <w:pStyle w:val="Heading2"/>
      </w:pPr>
      <w:r>
        <w:t>11.2 Convenciones de código y validaciones en setters</w:t>
      </w:r>
    </w:p>
    <w:p>
      <w:r>
        <w:t>Se han implementado getters/setters en todas las entidades; los setters de atributos String validan cadenas vacías lanzando NotNullValueAllowedException. Los constructores usan los setters para asegurar validaciones homogéneas.</w:t>
      </w:r>
    </w:p>
    <w:p>
      <w:pPr>
        <w:pStyle w:val="Heading2"/>
      </w:pPr>
      <w:r>
        <w:t>11.3 Ejecución y manifiesto</w:t>
      </w:r>
    </w:p>
    <w:p>
      <w:r>
        <w:t>El empaquetado 'jar' incluye manifiesto con Main-Class = es.uclm.esi.iso2.bibliotecamonolitica.Main. Ejemplo de ejecución:</w:t>
        <w:br/>
        <w:t xml:space="preserve">  mvn -q -DskipTests package</w:t>
        <w:br/>
        <w:t xml:space="preserve">  java -jar target/bibliotecamonolitica-1.0.0.jar</w:t>
      </w:r>
    </w:p>
    <w:p>
      <w:pPr>
        <w:pStyle w:val="Heading2"/>
      </w:pPr>
      <w:r>
        <w:t>11.4 Documentación Javadoc</w:t>
      </w:r>
    </w:p>
    <w:p>
      <w:r>
        <w:t>Se configura maven-javadoc-plugin para generar documentación:</w:t>
        <w:br/>
        <w:t xml:space="preserve">  mvn javadoc:javadoc</w:t>
        <w:br/>
        <w:t>El resultado se genera en target/site/apidocs.</w:t>
      </w:r>
    </w:p>
    <w:p>
      <w:pPr>
        <w:pStyle w:val="Heading2"/>
      </w:pPr>
      <w:r>
        <w:t>11.5 Alineación pom.xml ↔ paquetes</w:t>
      </w:r>
    </w:p>
    <w:p>
      <w:r>
        <w:t>El POM define el groupId/artifactId y la ruta de paquetes base (es.uclm.esi.iso2.bibliotecamonolitica). Las clases se ubican bajo src/main/java/es/uclm/esi/iso2/bibliotecamonolitica/... asegurando coherencia con el GroupID.</w:t>
      </w:r>
    </w:p>
    <w:p>
      <w:pPr>
        <w:pStyle w:val="Heading2"/>
      </w:pPr>
      <w:r>
        <w:t>11.6 Dependencias y configuración para MySQL, pruebas y javadoc</w:t>
      </w:r>
    </w:p>
    <w:p>
      <w:r>
        <w:t>Se han añadido al pom.xml las dependencias y plugins necesarios:</w:t>
        <w:br/>
        <w:t>• MySQL: mysql-connector-j (driver JDBC) para comunicación con la base de datos.</w:t>
        <w:br/>
        <w:t>• Pruebas: junit-jupiter-api y junit-jupiter-engine (JUnit 5) + maven-surefire-plugin para su ejecución.</w:t>
        <w:br/>
        <w:t>• Documentación: maven-javadoc-plugin para generar la API en HTML.</w:t>
      </w:r>
    </w:p>
    <w:p>
      <w:r>
        <w:t>Configuración de entorno para MySQL (leída por AgentMySQL):</w:t>
        <w:br/>
        <w:t xml:space="preserve">  MYSQL_URL=jdbc:mysql://localhost:3306/biblioteca?useSSL=false&amp;serverTimezone=UTC</w:t>
        <w:br/>
        <w:t xml:space="preserve">  MYSQL_USER=usuario</w:t>
        <w:br/>
        <w:t xml:space="preserve">  MYSQL_PASSWORD=secreto</w:t>
        <w:br/>
        <w:t>Scripts SQL en src/main/resources/sql: schema.sql (crea tablas) y seed.sql (100 usuarios y 100 libros).</w:t>
      </w:r>
    </w:p>
    <w:p>
      <w:pPr>
        <w:pStyle w:val="Heading2"/>
      </w:pPr>
      <w:r>
        <w:t>11.7 Agente de BD y DAOs (patrón Singleton + DAO)</w:t>
      </w:r>
    </w:p>
    <w:p>
      <w:r>
        <w:t>Se introduce un agente abstracto (Agent) con patrón Singleton y su implementación concreta AgentMySQL. Las clases DAO (BookDAO, UserDAO, LoanDAO, FineDAO) usan Agent.getInstance().getConnection() para realizar operaciones JDBC. Los servicios de aplicación ahora delegan en DAOs para persistencia y consultas.</w:t>
      </w:r>
    </w:p>
    <w:p>
      <w:pPr>
        <w:pStyle w:val="Heading1"/>
      </w:pPr>
      <w:r>
        <w:t>12. Pruebas</w:t>
      </w:r>
    </w:p>
    <w:p>
      <w:r>
        <w:t>Se han diseñado e implementado pruebas unitarias con JUnit 5 para cubrir el 90% o más del código. Se incluye el plugin JaCoCo para medir y **verificar** la cobertura mínima (regla ≥ 90% a nivel de bundle).</w:t>
      </w:r>
    </w:p>
    <w:p>
      <w:pPr>
        <w:pStyle w:val="Heading2"/>
      </w:pPr>
      <w:r>
        <w:t>12.1 Alcance y criterios</w:t>
      </w:r>
    </w:p>
    <w:p>
      <w:r>
        <w:t>• Utilidades y validaciones (Validation, NotNullValueAllowedException).</w:t>
        <w:br/>
        <w:t>• Objetos de valor (ISBN, Email, Money).</w:t>
        <w:br/>
        <w:t>• Entidades (Book, User, Loan, Fine) — pruebas de setters/getters e invariantes.</w:t>
        <w:br/>
        <w:t>• Servicios (CatalogService, UserService) — pruebas con DAOs sustituidos por implementaciones in situ.</w:t>
        <w:br/>
        <w:t>• DAOs (BookDAO, UserDAO) — pruebas de integración contra H2 en memoria en modo MySQL, cargando schema.sql.</w:t>
      </w:r>
    </w:p>
    <w:p>
      <w:pPr>
        <w:pStyle w:val="Heading2"/>
      </w:pPr>
      <w:r>
        <w:t>12.2 Ejecución e informes</w:t>
      </w:r>
    </w:p>
    <w:p>
      <w:r>
        <w:t>Ejecución: `mvn -q test` genera el informe de cobertura en `target/site/jacoco/index.html`. La fase `verify` falla si la cobertura de líneas es inferior al 90%.</w:t>
      </w:r>
    </w:p>
    <w:p>
      <w:pPr>
        <w:pStyle w:val="Heading2"/>
      </w:pPr>
      <w:r>
        <w:t>12.3 Preparación de BBDD en pruebas</w:t>
      </w:r>
    </w:p>
    <w:p>
      <w:r>
        <w:t>Se emplea un agente de pruebas `AgentH2` (solo en test) que configura H2 en modo MySQL. Los tests cargan `/sql/schema.sql` mediante `DBTestSupport.runSqlResource(...)`. Esto evita dependencias externas y acelera la ejecución manteniendo compatibilidad SQL.</w:t>
      </w:r>
    </w:p>
    <w:p>
      <w:pPr>
        <w:pStyle w:val="Heading1"/>
      </w:pPr>
      <w:r>
        <w:t>13. Instrucciones para la creación del proyecto en Visual Studio Code y conexión con GitHub</w:t>
      </w:r>
    </w:p>
    <w:p>
      <w:pPr>
        <w:pStyle w:val="Heading2"/>
      </w:pPr>
      <w:r>
        <w:t>13.1 Instalación y configuración inicial</w:t>
      </w:r>
    </w:p>
    <w:p>
      <w:r>
        <w:t>1. Instalar Visual Studio Code (VS Code): Descargar desde https://code.visualstudio.com e instalarlo. Durante la instalación, marcar la opción 'Agregar a PATH'.</w:t>
        <w:br/>
        <w:t>2. Instalar extensiones necesarias:</w:t>
        <w:br/>
        <w:t xml:space="preserve">   - Extension Pack for Java (Microsoft)</w:t>
        <w:br/>
        <w:t xml:space="preserve">   - Maven for Java</w:t>
        <w:br/>
        <w:t xml:space="preserve">   - Debugger for Java</w:t>
        <w:br/>
        <w:t xml:space="preserve">   - GitHub Pull Requests and Issues (opcional)</w:t>
        <w:br/>
        <w:t xml:space="preserve">   - GitLens (para historial de commits y comparación de versiones)</w:t>
        <w:br/>
        <w:t>3. Instalar Git: Descargar desde https://git-scm.com/downloads. Verificar la instalación con el comando 'git --version' en la terminal.</w:t>
      </w:r>
    </w:p>
    <w:p>
      <w:pPr>
        <w:pStyle w:val="Heading2"/>
      </w:pPr>
      <w:r>
        <w:t>13.2 Creación del proyecto Maven</w:t>
      </w:r>
    </w:p>
    <w:p>
      <w:r>
        <w:t>1. Abrir VS Code y ejecutar el comando desde la paleta (Ctrl+Shift+P): 'Maven: Create Maven Project'.</w:t>
        <w:br/>
        <w:t>2. Seleccionar el archetype 'maven-archetype-quickstart'.</w:t>
        <w:br/>
        <w:t>3. Introducir los valores:</w:t>
        <w:br/>
        <w:t xml:space="preserve">   - Group ID: es.uclm.esi.iso2</w:t>
        <w:br/>
        <w:t xml:space="preserve">   - Artifact ID: bibliotecamonolitica</w:t>
        <w:br/>
        <w:t xml:space="preserve">   - Version: 1.0.0</w:t>
        <w:br/>
        <w:t>4. Abrir el proyecto generado en VS Code.</w:t>
        <w:br/>
        <w:t>5. Sustituir el contenido del código fuente con los archivos del proyecto proporcionado.</w:t>
      </w:r>
    </w:p>
    <w:p>
      <w:pPr>
        <w:pStyle w:val="Heading2"/>
      </w:pPr>
      <w:r>
        <w:t>13.3 Compilación y ejecución</w:t>
      </w:r>
    </w:p>
    <w:p>
      <w:r>
        <w:t>En la terminal integrada de VS Code, ejecutar:</w:t>
        <w:br/>
        <w:t xml:space="preserve">  mvn clean package</w:t>
        <w:br/>
        <w:t xml:space="preserve">  java -jar target/bibliotecamonolitica-1.0.0.jar</w:t>
      </w:r>
    </w:p>
    <w:p>
      <w:pPr>
        <w:pStyle w:val="Heading2"/>
      </w:pPr>
      <w:r>
        <w:t>13.4 Conexión con Git y GitHub</w:t>
      </w:r>
    </w:p>
    <w:p>
      <w:r>
        <w:t>1. Inicializar un repositorio Git:</w:t>
        <w:br/>
        <w:t xml:space="preserve">   git init</w:t>
        <w:br/>
        <w:t xml:space="preserve">   git add .</w:t>
        <w:br/>
        <w:t xml:space="preserve">   git commit -m 'Primer commit: versión inicial del proyecto bibliotecamonolitica'</w:t>
        <w:br/>
        <w:t>2. Crear un nuevo repositorio en GitHub (https://github.com/new) con el nombre 'bibliotecamonolitica'. No marcar 'Initialize with a README'.</w:t>
        <w:br/>
        <w:t>3. Conectar el repositorio local con el remoto:</w:t>
        <w:br/>
        <w:t xml:space="preserve">   git remote add origin https://github.com/&lt;tu_usuario&gt;/bibliotecamonolitica.git</w:t>
        <w:br/>
        <w:t xml:space="preserve">   git branch -M main</w:t>
        <w:br/>
        <w:t xml:space="preserve">   git push -u origin main</w:t>
        <w:br/>
        <w:t>4. Configurar las credenciales de GitHub utilizando un token personal de acceso (https://github.com/settings/tokens).</w:t>
      </w:r>
    </w:p>
    <w:p>
      <w:pPr>
        <w:pStyle w:val="Heading2"/>
      </w:pPr>
      <w:r>
        <w:t>13.5 Uso de Git dentro de Visual Studio Code</w:t>
      </w:r>
    </w:p>
    <w:p>
      <w:r>
        <w:t>1. Abrir la vista de 'Control de Código Fuente' en la barra lateral izquierda.</w:t>
        <w:br/>
        <w:t>2. Escribir un mensaje de commit y presionar el icono ✓ o Ctrl+Enter para confirmar.</w:t>
        <w:br/>
        <w:t>3. Pulsar 'Sync Changes' o ejecutar 'git push' para subir los cambios a GitHub.</w:t>
      </w:r>
    </w:p>
    <w:p>
      <w:pPr>
        <w:pStyle w:val="Heading2"/>
      </w:pPr>
      <w:r>
        <w:t>13.6 Flujo de trabajo recomendado</w:t>
      </w:r>
    </w:p>
    <w:p>
      <w:r>
        <w:t>1. Crear una rama para cada nueva funcionalidad:</w:t>
        <w:br/>
        <w:t xml:space="preserve">   git checkout -b feature/nueva-funcionalidad</w:t>
        <w:br/>
        <w:t>2. Realizar los cambios y commits:</w:t>
        <w:br/>
        <w:t xml:space="preserve">   git add .</w:t>
        <w:br/>
        <w:t xml:space="preserve">   git commit -m 'Implementación de nueva funcionalidad'</w:t>
        <w:br/>
        <w:t>3. Subir los cambios y crear un Pull Request en GitHub para fusionarlos en main.</w:t>
      </w:r>
    </w:p>
    <w:p>
      <w:pPr>
        <w:pStyle w:val="Heading1"/>
      </w:pPr>
      <w:r>
        <w:t>14. Matriz de trazabilidad y Completitud Funcional (ISO/IEC 25010)</w:t>
      </w:r>
    </w:p>
    <w:p>
      <w:r>
        <w:t>La completitud funcional se calcula como el cociente entre requisitos funcionales implementados y requisitos especificados. Se detalla la trazabilidad entre requisitos (RF), clases/modulos y pruebas unitarias asociadas.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</w:t>
            </w:r>
          </w:p>
        </w:tc>
        <w:tc>
          <w:tcPr>
            <w:tcW w:type="dxa" w:w="1440"/>
          </w:tcPr>
          <w:p>
            <w:r>
              <w:t>Descripción resumida</w:t>
            </w:r>
          </w:p>
        </w:tc>
        <w:tc>
          <w:tcPr>
            <w:tcW w:type="dxa" w:w="1440"/>
          </w:tcPr>
          <w:p>
            <w:r>
              <w:t>Implementado</w:t>
            </w:r>
          </w:p>
        </w:tc>
        <w:tc>
          <w:tcPr>
            <w:tcW w:type="dxa" w:w="1440"/>
          </w:tcPr>
          <w:p>
            <w:r>
              <w:t>Clases/Módulos</w:t>
            </w:r>
          </w:p>
        </w:tc>
        <w:tc>
          <w:tcPr>
            <w:tcW w:type="dxa" w:w="1440"/>
          </w:tcPr>
          <w:p>
            <w:r>
              <w:t>Pruebas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</w:tr>
      <w:tr>
        <w:tc>
          <w:tcPr>
            <w:tcW w:type="dxa" w:w="1440"/>
          </w:tcPr>
          <w:p>
            <w:r>
              <w:t>RF.01</w:t>
            </w:r>
          </w:p>
        </w:tc>
        <w:tc>
          <w:tcPr>
            <w:tcW w:type="dxa" w:w="1440"/>
          </w:tcPr>
          <w:p>
            <w:r>
              <w:t>Alta de libros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BookController; CatalogService; BookDAO</w:t>
            </w:r>
          </w:p>
        </w:tc>
        <w:tc>
          <w:tcPr>
            <w:tcW w:type="dxa" w:w="1440"/>
          </w:tcPr>
          <w:p>
            <w:r>
              <w:t>BookDAOTest; CatalogServiceTest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RF.02</w:t>
            </w:r>
          </w:p>
        </w:tc>
        <w:tc>
          <w:tcPr>
            <w:tcW w:type="dxa" w:w="1440"/>
          </w:tcPr>
          <w:p>
            <w:r>
              <w:t>Actualizar información de libros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BookController; BookDAO</w:t>
            </w:r>
          </w:p>
        </w:tc>
        <w:tc>
          <w:tcPr>
            <w:tcW w:type="dxa" w:w="1440"/>
          </w:tcPr>
          <w:p>
            <w:r>
              <w:t>BookDAOTest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RF.03</w:t>
            </w:r>
          </w:p>
        </w:tc>
        <w:tc>
          <w:tcPr>
            <w:tcW w:type="dxa" w:w="1440"/>
          </w:tcPr>
          <w:p>
            <w:r>
              <w:t>Consultas de libros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BookController; CatalogService</w:t>
            </w:r>
          </w:p>
        </w:tc>
        <w:tc>
          <w:tcPr>
            <w:tcW w:type="dxa" w:w="1440"/>
          </w:tcPr>
          <w:p>
            <w:r>
              <w:t>BookControllerTest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RF.04</w:t>
            </w:r>
          </w:p>
        </w:tc>
        <w:tc>
          <w:tcPr>
            <w:tcW w:type="dxa" w:w="1440"/>
          </w:tcPr>
          <w:p>
            <w:r>
              <w:t>Baja de libros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BookDAO; CatalogService</w:t>
            </w:r>
          </w:p>
        </w:tc>
        <w:tc>
          <w:tcPr>
            <w:tcW w:type="dxa" w:w="1440"/>
          </w:tcPr>
          <w:p>
            <w:r>
              <w:t>BookDAOTest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RF.05</w:t>
            </w:r>
          </w:p>
        </w:tc>
        <w:tc>
          <w:tcPr>
            <w:tcW w:type="dxa" w:w="1440"/>
          </w:tcPr>
          <w:p>
            <w:r>
              <w:t>Alta de usuarios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UserController; UserService; UserDAO</w:t>
            </w:r>
          </w:p>
        </w:tc>
        <w:tc>
          <w:tcPr>
            <w:tcW w:type="dxa" w:w="1440"/>
          </w:tcPr>
          <w:p>
            <w:r>
              <w:t>UserDAOTest; UserServiceTest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RF.06</w:t>
            </w:r>
          </w:p>
        </w:tc>
        <w:tc>
          <w:tcPr>
            <w:tcW w:type="dxa" w:w="1440"/>
          </w:tcPr>
          <w:p>
            <w:r>
              <w:t>Actualizar información de usuarios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UserDAO; UserService</w:t>
            </w:r>
          </w:p>
        </w:tc>
        <w:tc>
          <w:tcPr>
            <w:tcW w:type="dxa" w:w="1440"/>
          </w:tcPr>
          <w:p>
            <w:r>
              <w:t>UserServiceTest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RF.07</w:t>
            </w:r>
          </w:p>
        </w:tc>
        <w:tc>
          <w:tcPr>
            <w:tcW w:type="dxa" w:w="1440"/>
          </w:tcPr>
          <w:p>
            <w:r>
              <w:t>Baja de usuarios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UserDAO</w:t>
            </w:r>
          </w:p>
        </w:tc>
        <w:tc>
          <w:tcPr>
            <w:tcW w:type="dxa" w:w="1440"/>
          </w:tcPr>
          <w:p>
            <w:r>
              <w:t>UserDAOTest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RF.08</w:t>
            </w:r>
          </w:p>
        </w:tc>
        <w:tc>
          <w:tcPr>
            <w:tcW w:type="dxa" w:w="1440"/>
          </w:tcPr>
          <w:p>
            <w:r>
              <w:t>Consultas de usuarios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UserController; UserService</w:t>
            </w:r>
          </w:p>
        </w:tc>
        <w:tc>
          <w:tcPr>
            <w:tcW w:type="dxa" w:w="1440"/>
          </w:tcPr>
          <w:p>
            <w:r>
              <w:t>UserServiceTest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RF.09</w:t>
            </w:r>
          </w:p>
        </w:tc>
        <w:tc>
          <w:tcPr>
            <w:tcW w:type="dxa" w:w="1440"/>
          </w:tcPr>
          <w:p>
            <w:r>
              <w:t>Alta de préstamo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LoanService; LoanDAO</w:t>
            </w:r>
          </w:p>
        </w:tc>
        <w:tc>
          <w:tcPr>
            <w:tcW w:type="dxa" w:w="1440"/>
          </w:tcPr>
          <w:p>
            <w:r>
              <w:t>LoanDAOTest; LoanServiceTest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RF.10</w:t>
            </w:r>
          </w:p>
        </w:tc>
        <w:tc>
          <w:tcPr>
            <w:tcW w:type="dxa" w:w="1440"/>
          </w:tcPr>
          <w:p>
            <w:r>
              <w:t>Renovación/actualización de préstamo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LoanService</w:t>
            </w:r>
          </w:p>
        </w:tc>
        <w:tc>
          <w:tcPr>
            <w:tcW w:type="dxa" w:w="1440"/>
          </w:tcPr>
          <w:p>
            <w:r>
              <w:t>LoanServiceTest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RF.11</w:t>
            </w:r>
          </w:p>
        </w:tc>
        <w:tc>
          <w:tcPr>
            <w:tcW w:type="dxa" w:w="1440"/>
          </w:tcPr>
          <w:p>
            <w:r>
              <w:t>Cierre/baja de préstamo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LoanService; LoanDAO</w:t>
            </w:r>
          </w:p>
        </w:tc>
        <w:tc>
          <w:tcPr>
            <w:tcW w:type="dxa" w:w="1440"/>
          </w:tcPr>
          <w:p>
            <w:r>
              <w:t>LoanServiceTest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  <w:tr>
        <w:tc>
          <w:tcPr>
            <w:tcW w:type="dxa" w:w="1440"/>
          </w:tcPr>
          <w:p>
            <w:r>
              <w:t>RF.12</w:t>
            </w:r>
          </w:p>
        </w:tc>
        <w:tc>
          <w:tcPr>
            <w:tcW w:type="dxa" w:w="1440"/>
          </w:tcPr>
          <w:p>
            <w:r>
              <w:t>Asociar multa por retraso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FineService; FineDAO</w:t>
            </w:r>
          </w:p>
        </w:tc>
        <w:tc>
          <w:tcPr>
            <w:tcW w:type="dxa" w:w="1440"/>
          </w:tcPr>
          <w:p>
            <w:r>
              <w:t>FineDAOTest</w:t>
            </w:r>
          </w:p>
        </w:tc>
        <w:tc>
          <w:tcPr>
            <w:tcW w:type="dxa" w:w="1440"/>
          </w:tcPr>
          <w:p>
            <w:r>
              <w:t>Verificado</w:t>
            </w:r>
          </w:p>
        </w:tc>
      </w:tr>
    </w:tbl>
    <w:p>
      <w:r>
        <w:t>Completitud Funcional = (12 implementados / 12 especificados) × 100 = 100 %.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