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Resumo executivo - Desafio Conta Azul</w:t>
      </w:r>
    </w:p>
    <w:p>
      <w:pPr>
        <w:jc w:val="center"/>
      </w:pPr>
      <w:r>
        <w:rPr>
          <w:sz w:val="20"/>
        </w:rPr>
        <w:t>Business Analytics - Produto SaaS</w:t>
      </w:r>
    </w:p>
    <w:p>
      <w:pPr>
        <w:pStyle w:val="Heading1"/>
        <w:jc w:val="left"/>
      </w:pPr>
      <w:r>
        <w:t>1. Principais achados do funil</w:t>
      </w:r>
    </w:p>
    <w:p>
      <w:pPr>
        <w:spacing w:after="120" w:line="252" w:lineRule="auto"/>
      </w:pPr>
      <w:r>
        <w:rPr>
          <w:rFonts w:ascii="Calibri" w:hAnsi="Calibri"/>
          <w:sz w:val="20"/>
        </w:rPr>
        <w:t>A base possui 10.000 usuarios unicos entre 2025-06-01 e 2025-10-30. O funil geral tem 2.983 signups e 919 compras, com taxa de visita para signup de 29,83%, visita para compra de 9,19% e signup para compra de 30,81%.</w:t>
      </w:r>
    </w:p>
    <w:p>
      <w:pPr>
        <w:spacing w:after="120" w:line="252" w:lineRule="auto"/>
      </w:pPr>
      <w:r>
        <w:rPr>
          <w:rFonts w:ascii="Calibri" w:hAnsi="Calibri"/>
          <w:sz w:val="20"/>
        </w:rPr>
        <w:t>Referral e o canal de maior qualidade: 41,65% de visit to signup, 18,23% de visit to purchase e 43,77% de signup to purchase. Email tambem apresenta boa eficiencia, enquanto organic combina escala e conversao. Paid e social apresentam baixa conversao final.</w:t>
      </w:r>
    </w:p>
    <w:p>
      <w:pPr>
        <w:spacing w:after="120" w:line="252" w:lineRule="auto"/>
      </w:pPr>
      <w:r>
        <w:rPr>
          <w:rFonts w:ascii="Calibri" w:hAnsi="Calibri"/>
          <w:sz w:val="20"/>
        </w:rPr>
        <w:t>Mobile concentra 62,42% das visitas, mas converte menos que desktop. A taxa visit to purchase em mobile e 6,82%, contra 13,12% em desktop, indicando uma oportunidade relevante de melhoria de experiencia, cadastro, onboarding ou checkout.</w:t>
      </w:r>
    </w:p>
    <w:p>
      <w:pPr>
        <w:spacing w:after="120" w:line="252" w:lineRule="auto"/>
      </w:pPr>
      <w:r>
        <w:rPr>
          <w:rFonts w:ascii="Calibri" w:hAnsi="Calibri"/>
          <w:sz w:val="20"/>
        </w:rPr>
        <w:t>O NPS geral esconde diferencas importantes: compradores possuem NPS estimado de 33,33, enquanto nao compradores possuem NPS estimado de -29,46. Portanto, a experiencia dos usuarios que nao compram precisa ser investigada separadamente.</w:t>
      </w:r>
    </w:p>
    <w:p>
      <w:pPr>
        <w:pStyle w:val="Heading1"/>
        <w:jc w:val="left"/>
      </w:pPr>
      <w:r>
        <w:t>2. Gargalos e hipoteses</w:t>
      </w:r>
    </w:p>
    <w:p>
      <w:pPr>
        <w:spacing w:after="120" w:line="252" w:lineRule="auto"/>
      </w:pPr>
      <w:r>
        <w:rPr>
          <w:rFonts w:ascii="Calibri" w:hAnsi="Calibri"/>
          <w:sz w:val="20"/>
        </w:rPr>
        <w:t>O primeiro gargalo esta antes do signup: 70,17% dos visitantes nao criam conta. As hipoteses sao proposta de valor pouco clara, paginas de entrada pouco aderentes, friccao no cadastro ou baixa qualificacao de trafego em alguns canais.</w:t>
      </w:r>
    </w:p>
    <w:p>
      <w:pPr>
        <w:spacing w:after="120" w:line="252" w:lineRule="auto"/>
      </w:pPr>
      <w:r>
        <w:rPr>
          <w:rFonts w:ascii="Calibri" w:hAnsi="Calibri"/>
          <w:sz w:val="20"/>
        </w:rPr>
        <w:t>O segundo gargalo esta entre signup e purchase: 69,19% dos cadastrados nao assinam. As hipoteses sao onboarding insuficiente, demora para chegar ao momento de valor, pricing pouco claro, falta de prova social ou friccao no checkout.</w:t>
      </w:r>
    </w:p>
    <w:p>
      <w:pPr>
        <w:spacing w:after="120" w:line="252" w:lineRule="auto"/>
      </w:pPr>
      <w:r>
        <w:rPr>
          <w:rFonts w:ascii="Calibri" w:hAnsi="Calibri"/>
          <w:sz w:val="20"/>
        </w:rPr>
        <w:t>Paid tem alto volume, mas baixa eficiencia, sugerindo segmentacao, criativos ou landing pages desalinhadas. Mobile tambem merece prioridade por combinar alto volume com baixa conversao relativa.</w:t>
      </w:r>
    </w:p>
    <w:p>
      <w:pPr>
        <w:pStyle w:val="Heading1"/>
        <w:jc w:val="left"/>
      </w:pPr>
      <w:r>
        <w:t>3. Recomendacoes de negocio</w:t>
      </w:r>
    </w:p>
    <w:p>
      <w:pPr>
        <w:pStyle w:val="ListBullet"/>
      </w:pPr>
      <w:r>
        <w:t>Priorizar referral com programa de indicacao, incentivos controlados e landing page especifica.</w:t>
      </w:r>
    </w:p>
    <w:p>
      <w:pPr>
        <w:pStyle w:val="ListBullet"/>
      </w:pPr>
      <w:r>
        <w:t>Otimizar paid antes de escalar investimento, medindo compra e qualidade em vez de apenas signup.</w:t>
      </w:r>
    </w:p>
    <w:p>
      <w:pPr>
        <w:pStyle w:val="ListBullet"/>
      </w:pPr>
      <w:r>
        <w:t>Melhorar a jornada mobile, reduzindo friccao no cadastro, onboarding e checkout.</w:t>
      </w:r>
    </w:p>
    <w:p>
      <w:pPr>
        <w:pStyle w:val="ListBullet"/>
      </w:pPr>
      <w:r>
        <w:t>Fortalecer organic com SEO, conteudo orientado ao ICP e paginas de conversao mais contextualizadas.</w:t>
      </w:r>
    </w:p>
    <w:p>
      <w:pPr>
        <w:pStyle w:val="ListBullet"/>
      </w:pPr>
      <w:r>
        <w:t>Explorar email/lifecycle para nutrir usuarios pos-visita e recuperar signups sem compra.</w:t>
      </w:r>
    </w:p>
    <w:p>
      <w:pPr>
        <w:pStyle w:val="ListBullet"/>
      </w:pPr>
      <w:r>
        <w:t>Investigar nao compradores com NPS baixo para identificar objeções, friccoes e lacunas de valor.</w:t>
      </w:r>
    </w:p>
    <w:p>
      <w:pPr>
        <w:pStyle w:val="Heading1"/>
        <w:jc w:val="left"/>
      </w:pPr>
      <w:r>
        <w:t>Metodologia</w:t>
      </w:r>
    </w:p>
    <w:p>
      <w:pPr>
        <w:spacing w:after="120" w:line="252" w:lineRule="auto"/>
      </w:pPr>
      <w:r>
        <w:rPr>
          <w:rFonts w:ascii="Calibri" w:hAnsi="Calibri"/>
          <w:sz w:val="20"/>
        </w:rPr>
        <w:t>A solucao foi desenvolvida localmente com Python, Pandas, DuckDB, Plotly e Streamlit. As metricas foram implementadas em SQL local com DuckDB e documentadas de forma agnostica, podendo ser reproduzidas em Looker, Power BI ou outra camada semantica equivalente.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