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Architecture Overview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c>
          <w:tcPr>
            <w:tcBorders>
              <w:top w:val="single" w:color="D5CFC5" w:sz="4"/>
              <w:left w:val="single" w:color="D5CFC5" w:sz="4"/>
              <w:bottom w:val="single" w:color="D5CFC5" w:sz="4"/>
              <w:right w:val="single" w:color="D5CFC5" w:sz="4"/>
            </w:tcBorders>
            <w:shd w:fill="CD7F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BRONZE — Raw</w:t>
            </w:r>
          </w:p>
        </w:tc>
        <w:tc>
          <w:tcPr>
            <w:tcBorders>
              <w:top w:val="single" w:color="D5CFC5" w:sz="4"/>
              <w:left w:val="single" w:color="D5CFC5" w:sz="4"/>
              <w:bottom w:val="single" w:color="D5CFC5" w:sz="4"/>
              <w:right w:val="single" w:color="D5CFC5" w:sz="4"/>
            </w:tcBorders>
            <w:shd w:fill="70707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SILVER — Trusted</w:t>
            </w:r>
          </w:p>
        </w:tc>
        <w:tc>
          <w:tcPr>
            <w:tcBorders>
              <w:top w:val="single" w:color="D5CFC5" w:sz="4"/>
              <w:left w:val="single" w:color="D5CFC5" w:sz="4"/>
              <w:bottom w:val="single" w:color="D5CFC5" w:sz="4"/>
              <w:right w:val="single" w:color="D5CFC5" w:sz="4"/>
            </w:tcBorders>
            <w:shd w:fill="C49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GOLD — BI-Ready</w:t>
            </w:r>
          </w:p>
        </w:tc>
      </w:tr>
      <w:tr>
        <w:tc>
          <w:tcPr>
            <w:tcBorders>
              <w:top w:val="single" w:color="D5CFC5" w:sz="4"/>
              <w:left w:val="single" w:color="D5CFC5" w:sz="4"/>
              <w:bottom w:val="single" w:color="D5CFC5" w:sz="4"/>
              <w:right w:val="single" w:color="D5CFC5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PURPOSE: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Exact, immutable mirror of all source files. Full auditability. No transformations applied.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SOURCES: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11 source files ingested as 12 Delta tables (CSV, XML, Excel). Shipments merged from 3 files.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KEY FEATURE: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_ingested_at timestamp on every table. Schema inferred at read time.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TABLES (12):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bronze_orders, bronze_order_details, bronze_shipments, bronze_customers, bronze_products, bronze_categories, bronze_divisions, bronze_shippers, bronze_suppliers, bronze_employees, bronze_offices, bronze_budget</w:t>
            </w:r>
          </w:p>
        </w:tc>
        <w:tc>
          <w:tcPr>
            <w:tcBorders>
              <w:top w:val="single" w:color="D5CFC5" w:sz="4"/>
              <w:left w:val="single" w:color="D5CFC5" w:sz="4"/>
              <w:bottom w:val="single" w:color="D5CFC5" w:sz="4"/>
              <w:right w:val="single" w:color="D5CF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PURPOSE: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Single source of truth. Typed, cleaned, enriched, and validated. Business logic excluded.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TRANSFORMATIONS: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Dates parsed (M/d/yyyy). Geographic enrichment (Continent, SubRegion, ISO2). Known errors corrected. Unknown Members injected for referential integrity.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GOVERNANCE: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Invalid records quarantined in bronze_quarantine (not silently dropped). All fixes traceable.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TABLES (12):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silver_ prefix for all source tables. Plus bronze_quarantine for rejected records.</w:t>
            </w:r>
          </w:p>
        </w:tc>
        <w:tc>
          <w:tcPr>
            <w:tcBorders>
              <w:top w:val="single" w:color="D5CFC5" w:sz="4"/>
              <w:left w:val="single" w:color="D5CFC5" w:sz="4"/>
              <w:bottom w:val="single" w:color="D5CFC5" w:sz="4"/>
              <w:right w:val="single" w:color="D5CFC5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PURPOSE: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Star schema optimized for BI. Two fact tables share conformed dimensions (Constellation Schema).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FACTS: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fact_sales_items (17,032 rows, line grain), fact_orders (6,571 rows, order grain), fact_budget (40 rows, employee x year)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DIMENSIONS: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dim_date (2007-2021), dim_customer, dim_product, dim_employee, dim_shipper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METRICS: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SalesAmount, GrossMargin, GrossMarginPct, TotalOrderValue, BudgetMonthly, DeliveryDays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AUDIT: 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gold_dq_issues - all DQ checks, BI-ready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18"/>
          <w:szCs w:val="18"/>
        </w:rP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E8531A"/>
          <w:sz w:val="20"/>
          <w:szCs w:val="20"/>
        </w:rPr>
        <w:t xml:space="preserve">Pipeline Workflow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E3" w:val="clear"/>
            <w:tcMar>
              <w:top w:type="dxa" w:w="6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531A"/>
                <w:sz w:val="15"/>
                <w:szCs w:val="15"/>
              </w:rPr>
              <w:t xml:space="preserve">1.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Source Files</w:t>
            </w:r>
          </w:p>
        </w:tc>
        <w:tc>
          <w:tcPr>
            <w:tcW w:type="dxa" w:w="1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0D5" w:val="clear"/>
            <w:tcMar>
              <w:top w:type="dxa" w:w="6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531A"/>
                <w:sz w:val="15"/>
                <w:szCs w:val="15"/>
              </w:rPr>
              <w:t xml:space="preserve">2.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NB_01 Bronze</w:t>
            </w:r>
          </w:p>
        </w:tc>
        <w:tc>
          <w:tcPr>
            <w:tcW w:type="dxa" w:w="1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E3" w:val="clear"/>
            <w:tcMar>
              <w:top w:type="dxa" w:w="6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531A"/>
                <w:sz w:val="15"/>
                <w:szCs w:val="15"/>
              </w:rPr>
              <w:t xml:space="preserve">3.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NB_02 Silver</w:t>
            </w:r>
          </w:p>
        </w:tc>
        <w:tc>
          <w:tcPr>
            <w:tcW w:type="dxa" w:w="1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0D5" w:val="clear"/>
            <w:tcMar>
              <w:top w:type="dxa" w:w="6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531A"/>
                <w:sz w:val="15"/>
                <w:szCs w:val="15"/>
              </w:rPr>
              <w:t xml:space="preserve">4.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NB_03 Gold</w:t>
            </w:r>
          </w:p>
        </w:tc>
        <w:tc>
          <w:tcPr>
            <w:tcW w:type="dxa" w:w="1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E3" w:val="clear"/>
            <w:tcMar>
              <w:top w:type="dxa" w:w="6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531A"/>
                <w:sz w:val="15"/>
                <w:szCs w:val="15"/>
              </w:rPr>
              <w:t xml:space="preserve">5.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NB_04 DQ</w:t>
            </w:r>
          </w:p>
        </w:tc>
        <w:tc>
          <w:tcPr>
            <w:tcW w:type="dxa" w:w="1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0D5" w:val="clear"/>
            <w:tcMar>
              <w:top w:type="dxa" w:w="6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531A"/>
                <w:sz w:val="15"/>
                <w:szCs w:val="15"/>
              </w:rPr>
              <w:t xml:space="preserve">6.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Semantic Model</w:t>
            </w:r>
          </w:p>
        </w:tc>
      </w:tr>
      <w:tr>
        <w:tc>
          <w:tcPr>
            <w:tcW w:type="dxa" w:w="1752"/>
            <w:tcBorders>
              <w:top w:val="none" w:color="FFFFFF" w:sz="0"/>
              <w:left w:val="none" w:color="FFFFFF" w:sz="0"/>
              <w:bottom w:val="single" w:color="E8531A" w:sz="4"/>
              <w:right w:val="none" w:color="FFFFFF" w:sz="0"/>
            </w:tcBorders>
            <w:shd w:fill="F0EBE3" w:val="clear"/>
            <w:tcMar>
              <w:top w:type="dxa" w:w="3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3"/>
                <w:szCs w:val="13"/>
              </w:rPr>
              <w:t xml:space="preserve">CSV/XML/Excel in OneLake</w:t>
            </w:r>
          </w:p>
        </w:tc>
        <w:tc>
          <w:tcPr>
            <w:tcW w:type="dxa" w:w="1752"/>
            <w:tcBorders>
              <w:top w:val="none" w:color="FFFFFF" w:sz="0"/>
              <w:left w:val="none" w:color="FFFFFF" w:sz="0"/>
              <w:bottom w:val="single" w:color="E8531A" w:sz="4"/>
              <w:right w:val="none" w:color="FFFFFF" w:sz="0"/>
            </w:tcBorders>
            <w:shd w:fill="E8E0D5" w:val="clear"/>
            <w:tcMar>
              <w:top w:type="dxa" w:w="3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3"/>
                <w:szCs w:val="13"/>
              </w:rPr>
              <w:t xml:space="preserve">Delta tables. No transforms.</w:t>
            </w:r>
          </w:p>
        </w:tc>
        <w:tc>
          <w:tcPr>
            <w:tcW w:type="dxa" w:w="1752"/>
            <w:tcBorders>
              <w:top w:val="none" w:color="FFFFFF" w:sz="0"/>
              <w:left w:val="none" w:color="FFFFFF" w:sz="0"/>
              <w:bottom w:val="single" w:color="E8531A" w:sz="4"/>
              <w:right w:val="none" w:color="FFFFFF" w:sz="0"/>
            </w:tcBorders>
            <w:shd w:fill="F0EBE3" w:val="clear"/>
            <w:tcMar>
              <w:top w:type="dxa" w:w="3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3"/>
                <w:szCs w:val="13"/>
              </w:rPr>
              <w:t xml:space="preserve">Typed, cleaned, enriched.</w:t>
            </w:r>
          </w:p>
        </w:tc>
        <w:tc>
          <w:tcPr>
            <w:tcW w:type="dxa" w:w="1752"/>
            <w:tcBorders>
              <w:top w:val="none" w:color="FFFFFF" w:sz="0"/>
              <w:left w:val="none" w:color="FFFFFF" w:sz="0"/>
              <w:bottom w:val="single" w:color="E8531A" w:sz="4"/>
              <w:right w:val="none" w:color="FFFFFF" w:sz="0"/>
            </w:tcBorders>
            <w:shd w:fill="E8E0D5" w:val="clear"/>
            <w:tcMar>
              <w:top w:type="dxa" w:w="3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3"/>
                <w:szCs w:val="13"/>
              </w:rPr>
              <w:t xml:space="preserve">Star schema built.</w:t>
            </w:r>
          </w:p>
        </w:tc>
        <w:tc>
          <w:tcPr>
            <w:tcW w:type="dxa" w:w="1752"/>
            <w:tcBorders>
              <w:top w:val="none" w:color="FFFFFF" w:sz="0"/>
              <w:left w:val="none" w:color="FFFFFF" w:sz="0"/>
              <w:bottom w:val="single" w:color="E8531A" w:sz="4"/>
              <w:right w:val="none" w:color="FFFFFF" w:sz="0"/>
            </w:tcBorders>
            <w:shd w:fill="F0EBE3" w:val="clear"/>
            <w:tcMar>
              <w:top w:type="dxa" w:w="3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3"/>
                <w:szCs w:val="13"/>
              </w:rPr>
              <w:t xml:space="preserve">9 checks. gold_dq_issues.</w:t>
            </w:r>
          </w:p>
        </w:tc>
        <w:tc>
          <w:tcPr>
            <w:tcW w:type="dxa" w:w="1752"/>
            <w:tcBorders>
              <w:top w:val="none" w:color="FFFFFF" w:sz="0"/>
              <w:left w:val="none" w:color="FFFFFF" w:sz="0"/>
              <w:bottom w:val="single" w:color="E8531A" w:sz="4"/>
              <w:right w:val="none" w:color="FFFFFF" w:sz="0"/>
            </w:tcBorders>
            <w:shd w:fill="E8E0D5" w:val="clear"/>
            <w:tcMar>
              <w:top w:type="dxa" w:w="3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3"/>
                <w:szCs w:val="13"/>
              </w:rPr>
              <w:t xml:space="preserve">Direct Lake. Ready for BI.</w:t>
            </w:r>
          </w:p>
        </w:tc>
      </w:tr>
    </w:tbl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15"/>
          <w:szCs w:val="15"/>
        </w:rPr>
        <w:t xml:space="preserve">Orchestration: </w:t>
      </w:r>
      <w:r>
        <w:rPr>
          <w:rFonts w:ascii="Calibri" w:cs="Calibri" w:eastAsia="Calibri" w:hAnsi="Calibri"/>
          <w:i/>
          <w:iCs/>
          <w:color w:val="6B7280"/>
          <w:sz w:val="15"/>
          <w:szCs w:val="15"/>
        </w:rPr>
        <w:t xml:space="preserve">Fabric Data Pipeline — notebooks execute in dependency chain. Each step runs only if previous completed successfully.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Implications of This Architecture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single" w:color="E5E0D8" w:sz="4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2DBD9E"/>
                <w:sz w:val="16"/>
                <w:szCs w:val="16"/>
              </w:rPr>
              <w:t xml:space="preserve">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Separation of concerns: raw data preserved independently of transformations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Full auditability: any issue traced back to Bronze without re-ingestion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Scalable: each layer evolves independently without breaking downstream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Governance: quarantine framework makes DQ issues explicit and trackable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BI-ready: Direct Lake on Delta tables eliminates import latency in Power BI</w:t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E8531A"/>
                <w:sz w:val="16"/>
                <w:szCs w:val="16"/>
              </w:rPr>
              <w:t xml:space="preserve">CONSIDERATIONS &amp; NEXT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Current pipeline is full-reload — production requires incremental (MERGE/UPSERT)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GrossMargin uses current UnitCost — SCD Type 2 needed for historical accuracy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Shipment SLA blocked by legacy date data (2007–2012 vs 2016–2021)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DivisionID=2 PK violation requires source correction before go-live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Unknown Members (Shippers 4 &amp; 5, Employee -1) are interim — register in source systems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31A" w:sz="8" w:space="0"/>
      </w:pBdr>
      <w:spacing w:after="0" w:before="60"/>
    </w:pPr>
    <w:r>
      <w:rPr>
        <w:rFonts w:ascii="Calibri" w:cs="Calibri" w:eastAsia="Calibri" w:hAnsi="Calibri"/>
      </w:rPr>
      <w:t xml:space="preserve"/>
    </w:r>
  </w:p>
  <w:p>
    <w:pPr>
      <w:tabs>
        <w:tab w:val="right" w:pos="9026"/>
      </w:tabs>
      <w:spacing w:after="0" w:before="30"/>
    </w:pPr>
    <w:r>
      <w:rPr>
        <w:rFonts w:ascii="Calibri" w:cs="Calibri" w:eastAsia="Calibri" w:hAnsi="Calibri"/>
        <w:color w:val="6B7280"/>
        <w:sz w:val="14"/>
        <w:szCs w:val="14"/>
      </w:rPr>
      <w:t xml:space="preserve">ACME Inc. POC — Confidential  |  Pomerol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280"/>
        <w:sz w:val="14"/>
        <w:szCs w:val="14"/>
      </w:rPr>
      <w:t xml:space="preserve">April 1, 2021  |  Diego Brito, Data Engineer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60" w:before="0"/>
    </w:pPr>
    <w:r>
      <w:rPr>
        <w:rFonts w:ascii="Calibri" w:cs="Calibri" w:eastAsia="Calibri" w:hAnsi="Calibri"/>
        <w:b/>
        <w:bCs/>
        <w:color w:val="1A1A1A"/>
        <w:sz w:val="30"/>
        <w:szCs w:val="30"/>
      </w:rPr>
      <w:t xml:space="preserve">pomerol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We simplify data to help businesses grow.</w:t>
    </w:r>
  </w:p>
  <w:p>
    <w:pPr>
      <w:pBdr>
        <w:bottom w:val="single" w:color="E8531A" w:sz="12" w:space="0"/>
      </w:pBdr>
      <w:spacing w:after="60" w:before="0"/>
    </w:pPr>
    <w:r>
      <w:rPr>
        <w:rFonts w:ascii="Calibri" w:cs="Calibri" w:eastAsia="Calibri" w:hAnsi="Calibri"/>
      </w:rPr>
      <w:t xml:space="preserve"/>
    </w:r>
  </w:p>
  <w:p>
    <w:pPr>
      <w:spacing w:after="30" w:before="0"/>
    </w:pPr>
    <w:r>
      <w:rPr>
        <w:rFonts w:ascii="Calibri" w:cs="Calibri" w:eastAsia="Calibri" w:hAnsi="Calibri"/>
        <w:b/>
        <w:bCs/>
        <w:color w:val="1A1A1A"/>
        <w:sz w:val="32"/>
        <w:szCs w:val="32"/>
      </w:rPr>
      <w:t xml:space="preserve">ACME Inc. — Medallion Data Architecture</w:t>
    </w:r>
  </w:p>
  <w:p>
    <w:pPr>
      <w:spacing w:after="100" w:before="0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EDW Layer Design  |  Microsoft Fabric Lakehouse  |  April 1, 2021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2026-06-04T18:04:56.333Z</dcterms:created>
  <dcterms:modified xsi:type="dcterms:W3CDTF">2026-06-04T18:04:56.338Z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