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Documentación de la Aplicación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Backend, frontend y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049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_acr_101">
            <w:r>
              <w:rPr>
                <w:rFonts w:ascii="Calibri" w:cs="Calibri" w:hAnsi="Calibri"/>
                <w:b w:val="1"/>
                <w:sz w:val="22"/>
              </w:rPr>
              <w:t xml:space="preserve">1. Despliegues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2">
            <w:r>
              <w:rPr>
                <w:rFonts w:ascii="Calibri" w:cs="Calibri" w:hAnsi="Calibri"/>
                <w:b w:val="1"/>
                <w:sz w:val="22"/>
              </w:rPr>
              <w:t xml:space="preserve">2. Estado de la implementación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3">
            <w:r>
              <w:rPr>
                <w:rFonts w:ascii="Calibri" w:cs="Calibri" w:hAnsi="Calibri"/>
                <w:b w:val="1"/>
                <w:sz w:val="22"/>
              </w:rPr>
              <w:t xml:space="preserve">3. Funcionalidad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4">
            <w:r>
              <w:rPr>
                <w:rFonts w:ascii="Calibri" w:cs="Calibri" w:hAnsi="Calibri"/>
                <w:sz w:val="22"/>
              </w:rPr>
              <w:t xml:space="preserve">3.1. Implementada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5">
            <w:r>
              <w:rPr>
                <w:rFonts w:ascii="Calibri" w:cs="Calibri" w:hAnsi="Calibri"/>
                <w:sz w:val="22"/>
              </w:rPr>
              <w:t xml:space="preserve">3.2. Pendiente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6">
            <w:r>
              <w:rPr>
                <w:rFonts w:ascii="Calibri" w:cs="Calibri" w:hAnsi="Calibri"/>
                <w:b w:val="1"/>
                <w:sz w:val="22"/>
              </w:rPr>
              <w:t xml:space="preserve">4. Arquitectura y tecnologías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7">
            <w:r>
              <w:rPr>
                <w:rFonts w:ascii="Calibri" w:cs="Calibri" w:hAnsi="Calibri"/>
                <w:b w:val="1"/>
                <w:sz w:val="22"/>
              </w:rPr>
              <w:t xml:space="preserve">5. Ejecución en ambiente local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8">
            <w:r>
              <w:rPr>
                <w:rFonts w:ascii="Calibri" w:cs="Calibri" w:hAnsi="Calibri"/>
                <w:b w:val="1"/>
                <w:sz w:val="22"/>
              </w:rPr>
              <w:t xml:space="preserve">6. Archivos de esta carpeta</w:t>
              <w:tab/>
              <w:t>6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Acredittia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1" w:name="_Toc_acr_101"/>
      <w:bookmarkEnd w:id="101"/>
      <w:r>
        <w:rPr/>
        <w:t xml:space="preserve">Despliegues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3200"/>
        <w:gridCol w:w="5500"/>
      </w:tblGrid>
      <w:tr>
        <w:trPr>
          <w:cantSplit/>
          <w:tblHeader/>
        </w:trPr>
        <w:tc>
          <w:tcPr>
            <w:tcW w:w="32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Componente</w:t>
            </w:r>
          </w:p>
        </w:tc>
        <w:tc>
          <w:tcPr>
            <w:tcW w:w="55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URL</w:t>
            </w:r>
          </w:p>
        </w:tc>
      </w:tr>
      <w:tr>
        <w:trPr>
          <w:cantSplit/>
        </w:trPr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API (documentación OpenAPI / Swagger)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https://backend-sigma-acredita.vercel.app/docs</w:t>
            </w:r>
          </w:p>
        </w:tc>
      </w:tr>
      <w:tr>
        <w:trPr>
          <w:cantSplit/>
        </w:trPr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Frontend web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https://frontend-nine-khaki-95.vercel.app</w:t>
            </w:r>
          </w:p>
        </w:tc>
      </w:tr>
      <w:tr>
        <w:trPr>
          <w:cantSplit/>
        </w:trPr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Repositorio de código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github.com/DiegoSantiagos/Backend_Acredita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02" w:name="_Toc_acr_102"/>
      <w:bookmarkEnd w:id="102"/>
      <w:r>
        <w:rPr/>
        <w:t xml:space="preserve">Estado de la implementación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3500"/>
        <w:gridCol w:w="5200"/>
      </w:tblGrid>
      <w:tr>
        <w:trPr>
          <w:cantSplit/>
          <w:tblHeader/>
        </w:trPr>
        <w:tc>
          <w:tcPr>
            <w:tcW w:w="35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Indicador</w:t>
            </w:r>
          </w:p>
        </w:tc>
        <w:tc>
          <w:tcPr>
            <w:tcW w:w="52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Endpoints de negocio bajo /api/v1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161 (76 GET · 46 POST · 22 PATCH · 15 DELETE · 2 PUT)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Endpoints de salud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 (/health, /health/esquema)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Módulos (routers)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Tablas del modelo de datos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37</w:t>
            </w:r>
          </w:p>
        </w:tc>
      </w:tr>
      <w:tr>
        <w:trPr>
          <w:cantSplit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Pruebas automatizadas (pytest)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206 casos en 9 archivos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/>
        <w:t xml:space="preserve">El detalle de cada endpoint (método, ruta, módulo y descripción) está en Catalogo_endpoints_API.xlsx.</w:t>
      </w:r>
    </w:p>
    <w:p>
      <w:pPr>
        <w:pStyle w:val="Heading1"/>
        <w:numPr>
          <w:ilvl w:val="0"/>
          <w:numId w:val="2"/>
        </w:numPr>
      </w:pPr>
      <w:bookmarkStart w:id="103" w:name="_Toc_acr_103"/>
      <w:bookmarkEnd w:id="103"/>
      <w:r>
        <w:rPr/>
        <w:t xml:space="preserve">Funcionalidad</w:t>
      </w:r>
    </w:p>
    <w:p>
      <w:pPr>
        <w:pStyle w:val="Heading2"/>
        <w:numPr>
          <w:ilvl w:val="1"/>
          <w:numId w:val="2"/>
        </w:numPr>
      </w:pPr>
      <w:bookmarkStart w:id="104" w:name="_Toc_acr_104"/>
      <w:bookmarkEnd w:id="104"/>
      <w:r>
        <w:rPr/>
        <w:t xml:space="preserve">Implementada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Autenticación y cuentas: </w:t>
      </w:r>
      <w:r>
        <w:rPr/>
        <w:t xml:space="preserve">registro de empresa con aprobación del administrador, JWT con refresh tokens, restablecimiento de contraseña y roles admin, company y contract_admin.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Núcleo de acreditación: </w:t>
      </w:r>
      <w:r>
        <w:rPr/>
        <w:t xml:space="preserve">faenas, contratos, cargos y checklists autogenerados desde plantillas maestras (10 requisitos de empresa, 13 de personal, 10 de equipo y 9 EMSIPOR para conductores); personal, equipos y licencia interna de mina.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Gestión documental: </w:t>
      </w:r>
      <w:r>
        <w:rPr/>
        <w:t xml:space="preserve">carga de documentos por SAS URL (Azure Blob Storage o almacenamiento local), versiones de archivo, vencimientos y estados ok → por vencer → vencido.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Revisión con IA: </w:t>
      </w:r>
      <w:r>
        <w:rPr/>
        <w:t xml:space="preserve">revisión de cada documento contra la plantilla del requisito, con hallazgos error, warning o info, y extracción de datos desde contratos, cédulas y padrones.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Operación: </w:t>
      </w:r>
      <w:r>
        <w:rPr/>
        <w:t xml:space="preserve">alertas, dashboard de KPIs, calendario, auditoría, preferencias de notificación y reportes PDF/Excel (también programados).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Plataformas del mandante: </w:t>
      </w:r>
      <w:r>
        <w:rPr/>
        <w:t xml:space="preserve">registro por faena y contrato, y credenciales cifradas en JWE con historial de rotación.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Suscripción: </w:t>
      </w:r>
      <w:r>
        <w:rPr/>
        <w:t xml:space="preserve">planes, suscripciones, facturas y webhook de pagos.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Procesos asíncronos: </w:t>
      </w:r>
      <w:r>
        <w:rPr/>
        <w:t xml:space="preserve">Celery + Redis para la revisión IA, los reportes y el cron diario de vencimientos.</w:t>
      </w:r>
    </w:p>
    <w:p>
      <w:pPr>
        <w:pStyle w:val="Heading2"/>
        <w:numPr>
          <w:ilvl w:val="1"/>
          <w:numId w:val="2"/>
        </w:numPr>
      </w:pPr>
      <w:bookmarkStart w:id="105" w:name="_Toc_acr_105"/>
      <w:bookmarkEnd w:id="105"/>
      <w:r>
        <w:rPr/>
        <w:t xml:space="preserve">Pendiente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Guardar en Azure Key Vault las credenciales de las integraciones (SIGA, Workmate…); hoy la integración queda registrada como desconectada.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Envío real de correos (restablecimiento e invitaciones) y WhatsApp: falta configurar el proveedor.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Cobro con pasarela de pagos (Transbank o Stripe); el flujo de suscripción y el webhook ya existen.</w:t>
      </w:r>
    </w:p>
    <w:p>
      <w:pPr>
        <w:pStyle w:val="Heading1"/>
        <w:numPr>
          <w:ilvl w:val="0"/>
          <w:numId w:val="2"/>
        </w:numPr>
      </w:pPr>
      <w:bookmarkStart w:id="106" w:name="_Toc_acr_106"/>
      <w:bookmarkEnd w:id="106"/>
      <w:r>
        <w:rPr/>
        <w:t xml:space="preserve">Arquitectura y tecnologías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600"/>
        <w:gridCol w:w="6100"/>
      </w:tblGrid>
      <w:tr>
        <w:trPr>
          <w:cantSplit/>
          <w:tblHeader/>
        </w:trPr>
        <w:tc>
          <w:tcPr>
            <w:tcW w:w="2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Capa</w:t>
            </w:r>
          </w:p>
        </w:tc>
        <w:tc>
          <w:tcPr>
            <w:tcW w:w="6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Python 3.12, FastAPI, Pydantic v2, SQLAlchemy 2.x, psycopg 3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PostgreSQL 16 con Row-Level Security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Procesos asíncronos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Celery 5 + Redis 7 (APScheduler en desarrollo)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JWT (PyJWT), Argon2 (pwdlib), JWE (cryptography), Azure Key Vault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Archivos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Azure Blob Storage con SAS URLs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Next.js 14.2, React 18.3, Tailwind CSS 3.4, TypeScript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Docker / docker-compose; Azure Container Apps (API, worker, beat y job de migración)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pytest + httpx + pgserver (PostgreSQL embebido); Postman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/>
        <w:t xml:space="preserve">Pantallas del frontend: inicio de sesión, dashboard, contratos (listado y detalle), personal (listado y ficha), equipos (listado y ficha), faenas, alertas y panel de administración (ver Documento de Mockups).</w:t>
      </w:r>
    </w:p>
    <w:p>
      <w:pPr>
        <w:pStyle w:val="Heading1"/>
        <w:numPr>
          <w:ilvl w:val="0"/>
          <w:numId w:val="2"/>
        </w:numPr>
      </w:pPr>
      <w:bookmarkStart w:id="107" w:name="_Toc_acr_107"/>
      <w:bookmarkEnd w:id="107"/>
      <w:r>
        <w:rPr/>
        <w:t xml:space="preserve">Ejecución en ambiente local</w:t>
      </w:r>
    </w:p>
    <w:p>
      <w:pPr>
        <w:spacing w:before="120" w:after="120" w:line="276" w:lineRule="auto"/>
        <w:jc w:val="both"/>
      </w:pPr>
      <w:r>
        <w:rPr/>
        <w:t xml:space="preserve">Requisito: Docker Desktop. Desde la carpeta app del repositorio:</w:t>
      </w:r>
    </w:p>
    <w:p>
      <w:pPr>
        <w:shd w:val="clear" w:fill="F2F2F2"/>
        <w:spacing w:before="60" w:after="60"/>
        <w:ind w:left="360"/>
      </w:pPr>
      <w:r>
        <w:rPr>
          <w:rFonts w:ascii="Courier New" w:hAnsi="Courier New" w:cs="Courier New" w:eastAsia="Courier New"/>
          <w:sz w:val="18"/>
          <w:szCs w:val="18"/>
        </w:rPr>
        <w:t xml:space="preserve">docker compose up --build</w:t>
      </w:r>
    </w:p>
    <w:p>
      <w:pPr>
        <w:spacing w:before="120" w:after="120" w:line="276" w:lineRule="auto"/>
        <w:jc w:val="both"/>
      </w:pPr>
      <w:r>
        <w:rPr/>
        <w:t xml:space="preserve">La web queda en http://localhost:3000 y la API en http://localhost:8000/docs. El servicio migrate aplica los scripts SQL de modelo_datos/ antes de levantar la API, por lo que esa carpeta debe estar en el repositorio.</w:t>
      </w:r>
    </w:p>
    <w:p>
      <w:pPr>
        <w:pStyle w:val="Heading1"/>
        <w:numPr>
          <w:ilvl w:val="0"/>
          <w:numId w:val="2"/>
        </w:numPr>
      </w:pPr>
      <w:bookmarkStart w:id="108" w:name="_Toc_acr_108"/>
      <w:bookmarkEnd w:id="108"/>
      <w:r>
        <w:rPr/>
        <w:t xml:space="preserve">Archivos de esta carpeta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4200"/>
        <w:gridCol w:w="4500"/>
      </w:tblGrid>
      <w:tr>
        <w:trPr>
          <w:cantSplit/>
          <w:tblHeader/>
        </w:trPr>
        <w:tc>
          <w:tcPr>
            <w:tcW w:w="42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Archivo</w:t>
            </w:r>
          </w:p>
        </w:tc>
        <w:tc>
          <w:tcPr>
            <w:tcW w:w="45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Documentacion_de_la_Aplicacion_Acredittia.docx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Catalogo_endpoints_API.xlsx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Resumen por módulo y listado de los 161 endpoints</w:t>
            </w:r>
          </w:p>
        </w:tc>
      </w:tr>
      <w:tr>
        <w:trPr>
          <w:cantSplit/>
        </w:trP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Codigo_fuente_Acredittia.zip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Copia del código del backend y del frontend</w:t>
            </w:r>
          </w:p>
        </w:tc>
      </w:tr>
      <w:tr>
        <w:trPr>
          <w:cantSplit/>
        </w:trP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Link_Backend.txt / Link_Frontend.txt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URLs de los despliegues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Documentación de la Aplicación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-706893</wp:posOffset>
          </wp:positionH>
          <wp:positionV relativeFrom="paragraph">
            <wp:posOffset>-187638</wp:posOffset>
          </wp:positionV>
          <wp:extent cx="1773697" cy="4343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8079" cy="593408"/>
          <wp:effectExtent b="0" l="0" r="0" t="0"/>
          <wp:docPr descr="http://www.duoc.cl/sites/default/files/logo_summit_0.png" id="14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8079" cy="5934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  <w:ind w:left="792" w:hanging="432"/>
      <w:jc w:val="both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vV62Fav3cW6IuKDpqf95rmc6A==">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