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center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Especificación de Requerimientos de las Partes Interesadas (Stakeholders)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Acredittia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98.0" w:type="dxa"/>
        <w:jc w:val="left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0705104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Partes Interesadas (StakeHolders)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Entidades de la organización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Partes Interesadas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Restricciones del Entorno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Conceptos Operacionales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vi1ubrtg9tt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Clases de Usuarios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q5w32nmnl6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Modos de operación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j55ayebazwp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Entorno Operacional, de Soporte y Habilitante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tony066oloy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Políticas y Restricciones Operacionales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juvwtio0keq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Escenarios Operacionales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Requerimientos de la Partes Interesadas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Conceptos Preliminares del Ciclo de Vida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Concepto de Adquisición o Producción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Concepto de Despliegue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Concepto de Soporte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 Concepto de Retiro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jc w:val="both"/>
        <w:rPr>
          <w:b w:val="1"/>
          <w:bCs w:val="1"/>
          <w:color w:val="36609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29/09/2026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Eduardo Aguero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29/09/2026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18/10/2026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Diego Santiagos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 completo las secciones 4 y 6</w:t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color w:val="1f497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5"/>
        </w:numPr>
        <w:rPr>
          <w:rFonts w:ascii="Calibri" w:cs="Calibri" w:eastAsia="Calibri" w:hAnsi="Calibri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sz w:val="24"/>
          <w:szCs w:val="24"/>
          <w:rtl w:val="0"/>
        </w:rPr>
        <w:t xml:space="preserve">Introducción 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5"/>
        </w:numPr>
        <w:rPr>
          <w:i w:val="1"/>
          <w:iCs w:val="1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Propósito del documento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propósito de documento es definir y consolidar los requisitos de las partes interesadas para el desarrollo de Acredittia, una plataforma SaaS (Software as a service) orientada a la gestión de acreditaciones de empresas contratistas,personal y equipos.Este documento está dirigido al equipo de desarrollo de ingeniería (Backend,Frontend,QA),a los Product Owners (Gonzalo Vera y Max), y servirá como base técnica y comercial para la interacción con los clientes (empresas contratistas y mandantes del sector minero y energético). </w:t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5"/>
        </w:numPr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Alcance del documento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documento abarca el diseño, desarrollo e implementación de la plataforma web Acredittia (Frontend en Next.js y Backend en FastAPI/Python con PostgreSQL). Contempla los módulos de gestión de contratos, control de personal y equipos, revisión documental mediante Inteligencia Artificial (IA), manejo de Licencias Internas de Mina (LIM/EMSIPOR), y sincronización automática con plataformas de mandantes (como SIGA, Workmate y Webcontrol) garantizando la máxima seguridad mediante un Vault JWE en Azure. 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5"/>
        </w:numPr>
        <w:ind w:left="360"/>
        <w:jc w:val="both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sz w:val="24"/>
          <w:szCs w:val="24"/>
          <w:vertAlign w:val="baseline"/>
          <w:rtl w:val="0"/>
        </w:rPr>
        <w:t xml:space="preserve">Partes Interesadas (StakeHolders)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5"/>
        </w:numPr>
      </w:pPr>
      <w:bookmarkStart w:colFirst="0" w:colLast="0" w:name="_heading=h.tyjcwt" w:id="5"/>
      <w:bookmarkEnd w:id="5"/>
      <w:r w:rsidDel="00000000" w:rsidR="00000000" w:rsidRPr="00000000">
        <w:rPr>
          <w:vertAlign w:val="baseline"/>
          <w:rtl w:val="0"/>
        </w:rPr>
        <w:t xml:space="preserve">Entidades de la organización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/>
      </w:pPr>
      <w:bookmarkStart w:colFirst="0" w:colLast="0" w:name="_heading=h.v0axsjoy1lov" w:id="6"/>
      <w:bookmarkEnd w:id="6"/>
      <w:r w:rsidDel="00000000" w:rsidR="00000000" w:rsidRPr="00000000">
        <w:rPr>
          <w:b w:val="1"/>
          <w:bCs w:val="1"/>
          <w:rtl w:val="0"/>
        </w:rPr>
        <w:t xml:space="preserve">Alloxentric:</w:t>
      </w:r>
      <w:r w:rsidDel="00000000" w:rsidR="00000000" w:rsidRPr="00000000">
        <w:rPr>
          <w:rtl w:val="0"/>
        </w:rPr>
        <w:t xml:space="preserve"> Empresa matriz desarrolladora de la tecnología, encargada de proveer la infraestructura de IA y automatización de procesos.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/>
      </w:pPr>
      <w:bookmarkStart w:colFirst="0" w:colLast="0" w:name="_heading=h.yso0hsb3389k" w:id="7"/>
      <w:bookmarkEnd w:id="7"/>
      <w:r w:rsidDel="00000000" w:rsidR="00000000" w:rsidRPr="00000000">
        <w:rPr>
          <w:b w:val="1"/>
          <w:bCs w:val="1"/>
          <w:rtl w:val="0"/>
        </w:rPr>
        <w:t xml:space="preserve">Empresas Mineras y Energéticas (Entidad Externa):</w:t>
      </w:r>
      <w:r w:rsidDel="00000000" w:rsidR="00000000" w:rsidRPr="00000000">
        <w:rPr>
          <w:rtl w:val="0"/>
        </w:rPr>
        <w:t xml:space="preserve"> Definen las plataformas de control de acceso y los estándares de cumplimiento en terreno.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bookmarkStart w:colFirst="0" w:colLast="0" w:name="_heading=h.5f4khafc4rbx" w:id="8"/>
      <w:bookmarkEnd w:id="8"/>
      <w:r w:rsidDel="00000000" w:rsidR="00000000" w:rsidRPr="00000000">
        <w:rPr>
          <w:b w:val="1"/>
          <w:bCs w:val="1"/>
          <w:rtl w:val="0"/>
        </w:rPr>
        <w:t xml:space="preserve">Empresas Contratistas (Entidad Externa):</w:t>
      </w:r>
      <w:r w:rsidDel="00000000" w:rsidR="00000000" w:rsidRPr="00000000">
        <w:rPr>
          <w:rtl w:val="0"/>
        </w:rPr>
        <w:t xml:space="preserve"> Empresas proveedoras de servicios que utilizan el sistema para acreditar sus trabajadores y vehículos.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bookmarkStart w:colFirst="0" w:colLast="0" w:name="_heading=h.zfdidqx5crr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bookmarkStart w:colFirst="0" w:colLast="0" w:name="_heading=h.mqbxbbi0c5a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bookmarkStart w:colFirst="0" w:colLast="0" w:name="_heading=h.bvgq8n3tkht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bookmarkStart w:colFirst="0" w:colLast="0" w:name="_heading=h.hekvptkpl7b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bookmarkStart w:colFirst="0" w:colLast="0" w:name="_heading=h.opst5ma0ify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bookmarkStart w:colFirst="0" w:colLast="0" w:name="_heading=h.akdf5mg0ht9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bookmarkStart w:colFirst="0" w:colLast="0" w:name="_heading=h.uso2prlz2j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5"/>
        </w:numPr>
      </w:pPr>
      <w:bookmarkStart w:colFirst="0" w:colLast="0" w:name="_heading=h.3dy6vkm" w:id="16"/>
      <w:bookmarkEnd w:id="16"/>
      <w:r w:rsidDel="00000000" w:rsidR="00000000" w:rsidRPr="00000000">
        <w:rPr>
          <w:vertAlign w:val="baseline"/>
          <w:rtl w:val="0"/>
        </w:rPr>
        <w:t xml:space="preserve">Partes Interesadas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bookmarkStart w:colFirst="0" w:colLast="0" w:name="_heading=h.waxayvajwg4l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Encargado de Acreditación/ Gerente de Prevención de Riesgos</w:t>
      </w:r>
      <w:r w:rsidDel="00000000" w:rsidR="00000000" w:rsidRPr="00000000">
        <w:rPr>
          <w:sz w:val="24"/>
          <w:szCs w:val="24"/>
          <w:rtl w:val="0"/>
        </w:rPr>
        <w:t xml:space="preserve">: Es el usuario principal del lado de la empresa contratista, es el responsable de mantener el cumplimiento normativo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6z9jv7bvldez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de contrato: </w:t>
      </w:r>
      <w:r w:rsidDel="00000000" w:rsidR="00000000" w:rsidRPr="00000000">
        <w:rPr>
          <w:sz w:val="24"/>
          <w:szCs w:val="24"/>
          <w:rtl w:val="0"/>
        </w:rPr>
        <w:t xml:space="preserve">Es el usuario de la empresa contratista con acceso restringido solamente a la visualización y gestión de un contrato en específico.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v9tbil19qv9m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 de Contratistas: </w:t>
      </w:r>
      <w:r w:rsidDel="00000000" w:rsidR="00000000" w:rsidRPr="00000000">
        <w:rPr>
          <w:sz w:val="24"/>
          <w:szCs w:val="24"/>
          <w:rtl w:val="0"/>
        </w:rPr>
        <w:t xml:space="preserve">Son los interlocutores del lado de las empresas mineras y energéticas que consumen los datos de cumplimiento de contratos y son el objetivo de la plataforma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bookmarkStart w:colFirst="0" w:colLast="0" w:name="_heading=h.4j727my5p34y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 Técnico/ Operaciones:</w:t>
      </w:r>
      <w:r w:rsidDel="00000000" w:rsidR="00000000" w:rsidRPr="00000000">
        <w:rPr>
          <w:sz w:val="24"/>
          <w:szCs w:val="24"/>
          <w:rtl w:val="0"/>
        </w:rPr>
        <w:t xml:space="preserve"> Administradores internos de Acredita que operan la parte interna la cual están encargadas de desarrollar.</w:t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5"/>
        </w:numPr>
        <w:ind w:left="360"/>
        <w:jc w:val="both"/>
        <w:rPr>
          <w:sz w:val="24"/>
          <w:szCs w:val="24"/>
        </w:rPr>
      </w:pPr>
      <w:bookmarkStart w:colFirst="0" w:colLast="0" w:name="_heading=h.1t3h5sf" w:id="21"/>
      <w:bookmarkEnd w:id="21"/>
      <w:r w:rsidDel="00000000" w:rsidR="00000000" w:rsidRPr="00000000">
        <w:rPr>
          <w:sz w:val="24"/>
          <w:szCs w:val="24"/>
          <w:vertAlign w:val="baseline"/>
          <w:rtl w:val="0"/>
        </w:rPr>
        <w:t xml:space="preserve">Restricciones del Entorno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Normativa de Privacidad de Datos:</w:t>
      </w:r>
      <w:r w:rsidDel="00000000" w:rsidR="00000000" w:rsidRPr="00000000">
        <w:rPr>
          <w:rtl w:val="0"/>
        </w:rPr>
        <w:t xml:space="preserve"> El sistema debe cumplir con la legislación chilena sobre datos sensibles (Ley 19.628 / 21.719), requiriendo anonimización de trabajadores dados de baja.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Reglamentos de Tránsito en Faena:</w:t>
      </w:r>
      <w:r w:rsidDel="00000000" w:rsidR="00000000" w:rsidRPr="00000000">
        <w:rPr>
          <w:rtl w:val="0"/>
        </w:rPr>
        <w:t xml:space="preserve"> El sistema debe ajustarse a las normativas de conducción específicas, como el Reglamento de Tránsito de Los Pelambres (v.16) para habilitar Licencias Internas (EMSIPOR).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 de Credenciales de Terceros:</w:t>
      </w:r>
      <w:r w:rsidDel="00000000" w:rsidR="00000000" w:rsidRPr="00000000">
        <w:rPr>
          <w:rtl w:val="0"/>
        </w:rPr>
        <w:t xml:space="preserve"> Estricta restricción de no almacenar contraseñas en texto plano para el acceso a plataformas de mandantes; el sistema obliga al uso de JSON Web Encryption (JWE) custodiado en Azure Key Vault.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Ecosistema Tecnológico Heredado:</w:t>
      </w:r>
      <w:r w:rsidDel="00000000" w:rsidR="00000000" w:rsidRPr="00000000">
        <w:rPr>
          <w:rtl w:val="0"/>
        </w:rPr>
        <w:t xml:space="preserve"> Restricción de interoperar con plataformas legacy de los mandantes (Metacontratas, SIGA, etc.) mediante conectores y sincronización asíncrona.</w:t>
      </w:r>
    </w:p>
    <w:p w:rsidR="00000000" w:rsidDel="00000000" w:rsidP="00000000" w:rsidRDefault="00000000" w:rsidRPr="00000000" w14:paraId="0000005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5"/>
        </w:numPr>
        <w:ind w:left="360"/>
        <w:jc w:val="both"/>
        <w:rPr>
          <w:sz w:val="24"/>
          <w:szCs w:val="24"/>
        </w:rPr>
      </w:pPr>
      <w:bookmarkStart w:colFirst="0" w:colLast="0" w:name="_heading=h.4d34og8" w:id="22"/>
      <w:bookmarkEnd w:id="22"/>
      <w:r w:rsidDel="00000000" w:rsidR="00000000" w:rsidRPr="00000000">
        <w:rPr>
          <w:sz w:val="24"/>
          <w:szCs w:val="24"/>
          <w:vertAlign w:val="baseline"/>
          <w:rtl w:val="0"/>
        </w:rPr>
        <w:t xml:space="preserve">Conceptos Operacionales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vi1ubrtg9ttz" w:id="23"/>
      <w:bookmarkEnd w:id="23"/>
      <w:r w:rsidDel="00000000" w:rsidR="00000000" w:rsidRPr="00000000">
        <w:rPr>
          <w:rtl w:val="0"/>
        </w:rPr>
        <w:t xml:space="preserve">4.1. Clases de Usuarios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b w:val="1"/>
          <w:bCs w:val="1"/>
          <w:rtl w:val="0"/>
        </w:rPr>
        <w:t xml:space="preserve">: Personal interno de Acredittia</w:t>
      </w:r>
      <w:r w:rsidDel="00000000" w:rsidR="00000000" w:rsidRPr="00000000">
        <w:rPr>
          <w:rtl w:val="0"/>
        </w:rPr>
        <w:t xml:space="preserve">. Tiene visión global, gestiona catálogos maestros y aprueba el registro de nuevas empresas contratistas.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company</w:t>
      </w:r>
      <w:r w:rsidDel="00000000" w:rsidR="00000000" w:rsidRPr="00000000">
        <w:rPr>
          <w:b w:val="1"/>
          <w:bCs w:val="1"/>
          <w:rtl w:val="0"/>
        </w:rPr>
        <w:t xml:space="preserve">: Empresa contratista</w:t>
      </w:r>
      <w:r w:rsidDel="00000000" w:rsidR="00000000" w:rsidRPr="00000000">
        <w:rPr>
          <w:rtl w:val="0"/>
        </w:rPr>
        <w:t xml:space="preserve">. Posee acceso total únicamente a los datos de su propia organización (contratos, reportes, personal).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contract_admin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Usuario de empresa contratista con alcance limitado a la visualización y gestión de un único contrato.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worker</w:t>
      </w:r>
      <w:r w:rsidDel="00000000" w:rsidR="00000000" w:rsidRPr="00000000">
        <w:rPr>
          <w:b w:val="1"/>
          <w:bCs w:val="1"/>
          <w:rtl w:val="0"/>
        </w:rPr>
        <w:t xml:space="preserve"> (Sistema):</w:t>
      </w:r>
      <w:r w:rsidDel="00000000" w:rsidR="00000000" w:rsidRPr="00000000">
        <w:rPr>
          <w:rtl w:val="0"/>
        </w:rPr>
        <w:t xml:space="preserve"> Rol de máquina (Celery) con permisos especiales para descifrar credenciales y ejecutar tareas asíncronas de IA o conexión externa.</w:t>
      </w:r>
    </w:p>
    <w:p w:rsidR="00000000" w:rsidDel="00000000" w:rsidP="00000000" w:rsidRDefault="00000000" w:rsidRPr="00000000" w14:paraId="00000062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q5w32nmnl69" w:id="24"/>
      <w:bookmarkEnd w:id="24"/>
      <w:r w:rsidDel="00000000" w:rsidR="00000000" w:rsidRPr="00000000">
        <w:rPr>
          <w:rtl w:val="0"/>
        </w:rPr>
        <w:t xml:space="preserve">4.2. Modos de operación del sistema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Interactivo (Frontend): Operación síncrona donde el usuario administra recursos y visualiza dashboards en la SPA.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Asíncrono/Fondo: Procesamiento de tareas pesadas (workers Celery), como la validación OCR/LLM de documentos de identidad, cálculo masivo de vencimientos diarios y generación de reportes.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Solo Lectura (Degradado): Forma de operación que se activa automáticamente para clientes cuya suscripción pasa a estado "morosa" (atraso mayor a 7 días), bloqueando modificaciones.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heading=h.j55ayebazwp8" w:id="25"/>
      <w:bookmarkEnd w:id="25"/>
      <w:r w:rsidDel="00000000" w:rsidR="00000000" w:rsidRPr="00000000">
        <w:rPr>
          <w:rtl w:val="0"/>
        </w:rPr>
        <w:t xml:space="preserve">4.3. Entorno Operacional, de Soporte y Habilitante del sistema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Componentes Tecnológicos: Infraestructura alojada en Microsoft Azure, utilizando App Services/Container Apps, PostgreSQL 16 (Flexible Server), Azure Blob Storage (para documentos gestionados vía SAS URL) y Azure Key Vault (HSM).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Soporte Operativo: Consola interna (</w:t>
      </w:r>
      <w:r w:rsidDel="00000000" w:rsidR="00000000" w:rsidRPr="00000000">
        <w:rPr>
          <w:rtl w:val="0"/>
        </w:rPr>
        <w:t xml:space="preserve">/api/v1/admin/ops</w:t>
      </w:r>
      <w:r w:rsidDel="00000000" w:rsidR="00000000" w:rsidRPr="00000000">
        <w:rPr>
          <w:rtl w:val="0"/>
        </w:rPr>
        <w:t xml:space="preserve">) que permite a operaciones monitorear el p95 de latencia, salud de las colas y pausar/reintentar procesos críticos sin intervención a nivel de código.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heading=h.tony066oloy8" w:id="26"/>
      <w:bookmarkEnd w:id="26"/>
      <w:r w:rsidDel="00000000" w:rsidR="00000000" w:rsidRPr="00000000">
        <w:rPr>
          <w:rtl w:val="0"/>
        </w:rPr>
        <w:t xml:space="preserve">4.4. Políticas y Restricciones Operacionales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Aislamiento Lógico Multi-Tenancy: Política estricta implementada mediante </w:t>
      </w:r>
      <w:r w:rsidDel="00000000" w:rsidR="00000000" w:rsidRPr="00000000">
        <w:rPr>
          <w:i w:val="1"/>
          <w:iCs w:val="1"/>
          <w:rtl w:val="0"/>
        </w:rPr>
        <w:t xml:space="preserve">Row Level Security (RLS)</w:t>
      </w:r>
      <w:r w:rsidDel="00000000" w:rsidR="00000000" w:rsidRPr="00000000">
        <w:rPr>
          <w:rtl w:val="0"/>
        </w:rPr>
        <w:t xml:space="preserve"> en la base de datos, forzando a que cada transacción de negocio valide el </w:t>
      </w:r>
      <w:r w:rsidDel="00000000" w:rsidR="00000000" w:rsidRPr="00000000">
        <w:rPr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 para evitar cruce de datos entre empresas.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Inmutabilidad de Registros de Auditoría: Las tablas de actividad (logs de negocio) y bitácora técnica operan bajo una política </w:t>
      </w:r>
      <w:r w:rsidDel="00000000" w:rsidR="00000000" w:rsidRPr="00000000">
        <w:rPr>
          <w:i w:val="1"/>
          <w:iCs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 protegida por triggers en la base de datos, rechazando cualquier intento de edición o borrado.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por Perfil Comercial (Feature Gating): Las funcionalidades del sistema dependen del plan suscrito (Básico, Pro, Enterprise), gestionado por un middleware en el backend.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juvwtio0keqa" w:id="27"/>
      <w:bookmarkEnd w:id="27"/>
      <w:r w:rsidDel="00000000" w:rsidR="00000000" w:rsidRPr="00000000">
        <w:rPr>
          <w:rtl w:val="0"/>
        </w:rPr>
        <w:t xml:space="preserve">4.5. Escenarios Operacionales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Acreditación Continua: Un trabajador sube su examen de altura física; el sistema envía el documento a revisión por IA, la IA extrae la fecha de vigencia y, de ser válida, lo aprueba, sincronizando automáticamente el estado "Acreditado" con el mandante (ej. plataforma SIGA).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Alertas Preventivas: A las 00:30 horas locales, el cron diario barre los documentos; si detecta uno que vence en 30 días, transiciona su estado a porvenir y dispara una notificación proactiva vía correo o WhatsApp Business.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5"/>
        </w:numPr>
        <w:ind w:left="360"/>
        <w:jc w:val="both"/>
        <w:rPr>
          <w:sz w:val="24"/>
          <w:szCs w:val="24"/>
        </w:rPr>
      </w:pPr>
      <w:bookmarkStart w:colFirst="0" w:colLast="0" w:name="_heading=h.35nkun2" w:id="28"/>
      <w:bookmarkEnd w:id="28"/>
      <w:r w:rsidDel="00000000" w:rsidR="00000000" w:rsidRPr="00000000">
        <w:rPr>
          <w:sz w:val="24"/>
          <w:szCs w:val="24"/>
          <w:vertAlign w:val="baseline"/>
          <w:rtl w:val="0"/>
        </w:rPr>
        <w:t xml:space="preserve">Requerimientos de la Partes Interesadas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Reducción de carga administrativa: </w:t>
      </w:r>
      <w:r w:rsidDel="00000000" w:rsidR="00000000" w:rsidRPr="00000000">
        <w:rPr>
          <w:rtl w:val="0"/>
        </w:rPr>
        <w:t xml:space="preserve">El sistema debe automatizar la lectura y validación de documentos (RUT, fechas, firmas) usando Inteligencia Artificial, eliminando la digitación manual repetitiva.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Confiabilidad en Plazos:</w:t>
      </w:r>
      <w:r w:rsidDel="00000000" w:rsidR="00000000" w:rsidRPr="00000000">
        <w:rPr>
          <w:rtl w:val="0"/>
        </w:rPr>
        <w:t xml:space="preserve"> La plataforma debe notificar los vencimientos de manera predictiva, asegurando que ningún trabajador o equipo quede bloqueado en la garita de la faena por documentos caducados.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Transparencia de Ejecución (Auditabilidad):</w:t>
      </w:r>
      <w:r w:rsidDel="00000000" w:rsidR="00000000" w:rsidRPr="00000000">
        <w:rPr>
          <w:rtl w:val="0"/>
        </w:rPr>
        <w:t xml:space="preserve"> Toda mutación (subida de documentos, cambio de estados, acceso a sistemas externos) debe quedar registrada con trazabilidad inmutable ("No Repudio") indicando quién, cuándo y qué acción realizó.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Visibilidad Ejecutiva:</w:t>
      </w:r>
      <w:r w:rsidDel="00000000" w:rsidR="00000000" w:rsidRPr="00000000">
        <w:rPr>
          <w:rtl w:val="0"/>
        </w:rPr>
        <w:t xml:space="preserve"> Los mandantes y empresas contratistas requieren dashboards en tiempo real para visualizar el porcentaje de cumplimiento, matrices de acreditación y reportes exportables en PDF/Excel.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Toma de Decisiones de Negocio:</w:t>
      </w:r>
      <w:r w:rsidDel="00000000" w:rsidR="00000000" w:rsidRPr="00000000">
        <w:rPr>
          <w:rtl w:val="0"/>
        </w:rPr>
        <w:t xml:space="preserve"> El equipo comercial de Acredittia necesita una consola que muestre indicadores financieros (MRR, Churn de clientes, LTV, CAC) y un mapa de métricas del ciclo de vida de los usuarios.</w:t>
      </w:r>
    </w:p>
    <w:p w:rsidR="00000000" w:rsidDel="00000000" w:rsidP="00000000" w:rsidRDefault="00000000" w:rsidRPr="00000000" w14:paraId="0000007A">
      <w:pPr>
        <w:ind w:left="36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5"/>
        </w:numPr>
        <w:ind w:left="360"/>
        <w:jc w:val="both"/>
        <w:rPr>
          <w:sz w:val="24"/>
          <w:szCs w:val="24"/>
        </w:rPr>
      </w:pPr>
      <w:bookmarkStart w:colFirst="0" w:colLast="0" w:name="_heading=h.1ksv4uv" w:id="29"/>
      <w:bookmarkEnd w:id="29"/>
      <w:r w:rsidDel="00000000" w:rsidR="00000000" w:rsidRPr="00000000">
        <w:rPr>
          <w:sz w:val="24"/>
          <w:szCs w:val="24"/>
          <w:vertAlign w:val="baseline"/>
          <w:rtl w:val="0"/>
        </w:rPr>
        <w:t xml:space="preserve">Conceptos Preliminares del Ciclo de Vida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5"/>
        </w:numPr>
      </w:pPr>
      <w:bookmarkStart w:colFirst="0" w:colLast="0" w:name="_heading=h.44sinio" w:id="30"/>
      <w:bookmarkEnd w:id="30"/>
      <w:r w:rsidDel="00000000" w:rsidR="00000000" w:rsidRPr="00000000">
        <w:rPr>
          <w:vertAlign w:val="baseline"/>
          <w:rtl w:val="0"/>
        </w:rPr>
        <w:t xml:space="preserve">Concepto de Adquisición o Producción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Su producción se regirá bajo un modelo de desarrollo de software incremental, administrando el control de versiones en GitHub y priorizando la entrega de los módulos mediante la matriz MoSCoW (asegurando primero el </w:t>
      </w:r>
      <w:r w:rsidDel="00000000" w:rsidR="00000000" w:rsidRPr="00000000">
        <w:rPr>
          <w:i w:val="1"/>
          <w:iCs w:val="1"/>
          <w:rtl w:val="0"/>
        </w:rPr>
        <w:t xml:space="preserve">Core Business</w:t>
      </w:r>
      <w:r w:rsidDel="00000000" w:rsidR="00000000" w:rsidRPr="00000000">
        <w:rPr>
          <w:rtl w:val="0"/>
        </w:rPr>
        <w:t xml:space="preserve">). Los recursos de infraestructura tecnológica requeridos para operar (Azure PostgreSQL, contenedores, Storage) serán adquiridos bajo un modelo de suscripción Cloud de pago por uso (</w:t>
      </w:r>
      <w:r w:rsidDel="00000000" w:rsidR="00000000" w:rsidRPr="00000000">
        <w:rPr>
          <w:i w:val="1"/>
          <w:iCs w:val="1"/>
          <w:rtl w:val="0"/>
        </w:rPr>
        <w:t xml:space="preserve">Pay-as-you-go</w:t>
      </w:r>
      <w:r w:rsidDel="00000000" w:rsidR="00000000" w:rsidRPr="00000000">
        <w:rPr>
          <w:rtl w:val="0"/>
        </w:rPr>
        <w:t xml:space="preserve">), minimizando el gasto de capital inicial (CAPEX).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5"/>
        </w:numPr>
      </w:pPr>
      <w:bookmarkStart w:colFirst="0" w:colLast="0" w:name="_heading=h.2jxsxqh" w:id="31"/>
      <w:bookmarkEnd w:id="31"/>
      <w:r w:rsidDel="00000000" w:rsidR="00000000" w:rsidRPr="00000000">
        <w:rPr>
          <w:vertAlign w:val="baseline"/>
          <w:rtl w:val="0"/>
        </w:rPr>
        <w:t xml:space="preserve">Concepto de Despliegue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El despliegue utilizará integración continua (CI/CD) vía GitHub Actions hacia entornos de </w:t>
      </w:r>
      <w:r w:rsidDel="00000000" w:rsidR="00000000" w:rsidRPr="00000000">
        <w:rPr>
          <w:i w:val="1"/>
          <w:iCs w:val="1"/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Producción</w:t>
      </w:r>
      <w:r w:rsidDel="00000000" w:rsidR="00000000" w:rsidRPr="00000000">
        <w:rPr>
          <w:rtl w:val="0"/>
        </w:rPr>
        <w:t xml:space="preserve">. La validación del sistema en producción se realizará mediante un piloto o </w:t>
      </w:r>
      <w:r w:rsidDel="00000000" w:rsidR="00000000" w:rsidRPr="00000000">
        <w:rPr>
          <w:i w:val="1"/>
          <w:iCs w:val="1"/>
          <w:rtl w:val="0"/>
        </w:rPr>
        <w:t xml:space="preserve">User Acceptance Testing (UAT)</w:t>
      </w:r>
      <w:r w:rsidDel="00000000" w:rsidR="00000000" w:rsidRPr="00000000">
        <w:rPr>
          <w:rtl w:val="0"/>
        </w:rPr>
        <w:t xml:space="preserve"> inicial con una empresa real amiga (Tiex SpA) en el ecosistema de Los Pelambres, antes del lanzamiento comercial general. </w:t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5"/>
        </w:numPr>
      </w:pPr>
      <w:bookmarkStart w:colFirst="0" w:colLast="0" w:name="_heading=h.z337ya" w:id="32"/>
      <w:bookmarkEnd w:id="32"/>
      <w:r w:rsidDel="00000000" w:rsidR="00000000" w:rsidRPr="00000000">
        <w:rPr>
          <w:vertAlign w:val="baseline"/>
          <w:rtl w:val="0"/>
        </w:rPr>
        <w:t xml:space="preserve">Concepto de Soporte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El mantenimiento post-lanzamiento estará respaldado por una "Consola Interna de Administración" que mide </w:t>
      </w:r>
      <w:r w:rsidDel="00000000" w:rsidR="00000000" w:rsidRPr="00000000">
        <w:rPr>
          <w:i w:val="1"/>
          <w:iCs w:val="1"/>
          <w:rtl w:val="0"/>
        </w:rPr>
        <w:t xml:space="preserve">heartbeats</w:t>
      </w:r>
      <w:r w:rsidDel="00000000" w:rsidR="00000000" w:rsidRPr="00000000">
        <w:rPr>
          <w:rtl w:val="0"/>
        </w:rPr>
        <w:t xml:space="preserve"> cada 60 segundos de las API, bases de datos, workers Celery y servicios de Storage. Ante una degradación (ej. latencia alta o caídas), el sistema genera incidentes automáticos para accionar al equipo de soporte operativo. </w:t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5"/>
        </w:numPr>
      </w:pPr>
      <w:bookmarkStart w:colFirst="0" w:colLast="0" w:name="_heading=h.3j2qqm3" w:id="33"/>
      <w:bookmarkEnd w:id="33"/>
      <w:r w:rsidDel="00000000" w:rsidR="00000000" w:rsidRPr="00000000">
        <w:rPr>
          <w:vertAlign w:val="baseline"/>
          <w:rtl w:val="0"/>
        </w:rPr>
        <w:t xml:space="preserve">Concepto de Retiro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El retiro de información (o de cuentas enteras) obedece a políticas de retención. Los datos temporales de extracción IA se borran a las 24 horas. El historial de auditoría y snapshots de cumplimiento se retienen por un período predeterminado (ej. 24 meses) mediante un </w:t>
      </w:r>
      <w:r w:rsidDel="00000000" w:rsidR="00000000" w:rsidRPr="00000000">
        <w:rPr>
          <w:i w:val="1"/>
          <w:i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 automatizado. Al retirarse o eliminarse una empresa contratista (o un sujeto), se desencadena un borrado físico en cascada de sus documentos y </w:t>
      </w:r>
      <w:r w:rsidDel="00000000" w:rsidR="00000000" w:rsidRPr="00000000">
        <w:rPr>
          <w:i w:val="1"/>
          <w:iCs w:val="1"/>
          <w:rtl w:val="0"/>
        </w:rPr>
        <w:t xml:space="preserve">blobs</w:t>
      </w:r>
      <w:r w:rsidDel="00000000" w:rsidR="00000000" w:rsidRPr="00000000">
        <w:rPr>
          <w:rtl w:val="0"/>
        </w:rPr>
        <w:t xml:space="preserve"> en Azure para no retener información residual indebida. 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1" w:right="104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Informática y Telecomunicaciones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pPr>
    <w:r w:rsidDel="00000000" w:rsidR="00000000" w:rsidRPr="00000000">
      <w:rPr>
        <w:rtl w:val="0"/>
      </w:rPr>
      <w:tab/>
      <w:t xml:space="preserve">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  <w:rtl w:val="0"/>
      </w:rPr>
      <w:t xml:space="preserve">Especificación de requisitos de las partes interesadas, ISO/EIC/IEEE 29148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-706895</wp:posOffset>
          </wp:positionH>
          <wp:positionV relativeFrom="paragraph">
            <wp:posOffset>-187640</wp:posOffset>
          </wp:positionV>
          <wp:extent cx="1773697" cy="434375"/>
          <wp:effectExtent b="0" l="0" r="0" t="0"/>
          <wp:wrapSquare wrapText="bothSides" distB="0" distT="0" distL="114300" distR="11430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3697" cy="43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spacing w:line="240" w:lineRule="auto"/>
      <w:jc w:val="both"/>
      <w:rPr/>
    </w:pPr>
    <w:r w:rsidDel="00000000" w:rsidR="00000000" w:rsidRPr="00000000">
      <w:rPr/>
      <w:drawing>
        <wp:inline distB="0" distT="0" distL="0" distR="0">
          <wp:extent cx="2525078" cy="593241"/>
          <wp:effectExtent b="0" l="0" r="0" t="0"/>
          <wp:docPr descr="http://www.duoc.cl/sites/default/files/logo_summit_0.png" id="11" name="image2.png"/>
          <a:graphic>
            <a:graphicData uri="http://schemas.openxmlformats.org/drawingml/2006/picture">
              <pic:pic>
                <pic:nvPicPr>
                  <pic:cNvPr descr="http://www.duoc.cl/sites/default/files/logo_summit_0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5078" cy="59324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color w:val="1f497d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360"/>
      <w:jc w:val="both"/>
    </w:pPr>
    <w:rPr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792" w:hanging="432"/>
      <w:jc w:val="both"/>
    </w:pPr>
    <w:rPr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link w:val="PrrafodelistaCar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VGS1" w:customStyle="1">
    <w:name w:val="VGS1"/>
    <w:basedOn w:val="Prrafodelista"/>
    <w:link w:val="VGS1Car"/>
    <w:qFormat w:val="1"/>
    <w:rsid w:val="00A92FF1"/>
    <w:pPr>
      <w:numPr>
        <w:numId w:val="11"/>
      </w:numPr>
    </w:pPr>
    <w:rPr>
      <w:color w:val="1f497d" w:themeColor="text2"/>
      <w:sz w:val="28"/>
    </w:rPr>
  </w:style>
  <w:style w:type="paragraph" w:styleId="VGS2" w:customStyle="1">
    <w:name w:val="VGS2"/>
    <w:basedOn w:val="Prrafodelista"/>
    <w:link w:val="VGS2Car"/>
    <w:qFormat w:val="1"/>
    <w:rsid w:val="00A92FF1"/>
    <w:pPr>
      <w:numPr>
        <w:ilvl w:val="1"/>
        <w:numId w:val="11"/>
      </w:numPr>
    </w:pPr>
    <w:rPr>
      <w:sz w:val="24"/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A92FF1"/>
  </w:style>
  <w:style w:type="character" w:styleId="VGS1Car" w:customStyle="1">
    <w:name w:val="VGS1 Car"/>
    <w:basedOn w:val="PrrafodelistaCar"/>
    <w:link w:val="VGS1"/>
    <w:rsid w:val="00A92FF1"/>
    <w:rPr>
      <w:color w:val="1f497d" w:themeColor="text2"/>
      <w:sz w:val="28"/>
    </w:rPr>
  </w:style>
  <w:style w:type="character" w:styleId="VGS2Car" w:customStyle="1">
    <w:name w:val="VGS2 Car"/>
    <w:basedOn w:val="PrrafodelistaCar"/>
    <w:link w:val="VGS2"/>
    <w:rsid w:val="00A92FF1"/>
    <w:rPr>
      <w:sz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IisZZGBSJPkU0GxBFJRJfqdfJQ==">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2019-10-26T00:25:00Z</dcterms:created>
  <dc:creator>BQuevedo</dc:creator>
</cp:coreProperties>
</file>