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Documento de Mockups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Diseño de interfaz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Acredittia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98.0" w:type="dxa"/>
        <w:jc w:val="left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2704902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instrText xml:space="preserve"> TOC \h \u \z \t "Heading 1,1,Heading 2,2," </w:instrText>
          </w:r>
          <w:r>
            <w:fldChar w:fldCharType="separate"/>
          </w:r>
          <w:hyperlink w:anchor="_Toc_acr_101">
            <w:r>
              <w:rPr>
                <w:rFonts w:ascii="Calibri" w:cs="Calibri" w:hAnsi="Calibri"/>
                <w:b w:val="1"/>
                <w:sz w:val="22"/>
              </w:rPr>
              <w:t xml:space="preserve">1. Introducción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2">
            <w:r>
              <w:rPr>
                <w:rFonts w:ascii="Calibri" w:cs="Calibri" w:hAnsi="Calibri"/>
                <w:b w:val="1"/>
                <w:sz w:val="22"/>
              </w:rPr>
              <w:t xml:space="preserve">2. Mapa de pantallas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3">
            <w:r>
              <w:rPr>
                <w:rFonts w:ascii="Calibri" w:cs="Calibri" w:hAnsi="Calibri"/>
                <w:b w:val="1"/>
                <w:sz w:val="22"/>
              </w:rPr>
              <w:t xml:space="preserve">3. Pantallas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4">
            <w:r>
              <w:rPr>
                <w:rFonts w:ascii="Calibri" w:cs="Calibri" w:hAnsi="Calibri"/>
                <w:sz w:val="22"/>
              </w:rPr>
              <w:t xml:space="preserve">3.1. Inicio de sesión y registro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5">
            <w:r>
              <w:rPr>
                <w:rFonts w:ascii="Calibri" w:cs="Calibri" w:hAnsi="Calibri"/>
                <w:sz w:val="22"/>
              </w:rPr>
              <w:t xml:space="preserve">3.2. Dashboard</w:t>
              <w:tab/>
              <w:t>7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6">
            <w:r>
              <w:rPr>
                <w:rFonts w:ascii="Calibri" w:cs="Calibri" w:hAnsi="Calibri"/>
                <w:sz w:val="22"/>
              </w:rPr>
              <w:t xml:space="preserve">3.3. Contratos</w:t>
              <w:tab/>
              <w:t>8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7">
            <w:r>
              <w:rPr>
                <w:rFonts w:ascii="Calibri" w:cs="Calibri" w:hAnsi="Calibri"/>
                <w:sz w:val="22"/>
              </w:rPr>
              <w:t xml:space="preserve">3.4. Detalle de contrato</w:t>
              <w:tab/>
              <w:t>9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8">
            <w:r>
              <w:rPr>
                <w:rFonts w:ascii="Calibri" w:cs="Calibri" w:hAnsi="Calibri"/>
                <w:sz w:val="22"/>
              </w:rPr>
              <w:t xml:space="preserve">3.5. Personal</w:t>
              <w:tab/>
              <w:t>10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9">
            <w:r>
              <w:rPr>
                <w:rFonts w:ascii="Calibri" w:cs="Calibri" w:hAnsi="Calibri"/>
                <w:sz w:val="22"/>
              </w:rPr>
              <w:t xml:space="preserve">3.6. Ficha de trabajador</w:t>
              <w:tab/>
              <w:t>11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0">
            <w:r>
              <w:rPr>
                <w:rFonts w:ascii="Calibri" w:cs="Calibri" w:hAnsi="Calibri"/>
                <w:sz w:val="22"/>
              </w:rPr>
              <w:t xml:space="preserve">3.7. Equipos y vehículos</w:t>
              <w:tab/>
              <w:t>12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1">
            <w:r>
              <w:rPr>
                <w:rFonts w:ascii="Calibri" w:cs="Calibri" w:hAnsi="Calibri"/>
                <w:sz w:val="22"/>
              </w:rPr>
              <w:t xml:space="preserve">3.8. Alertas</w:t>
              <w:tab/>
              <w:t>13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2">
            <w:r>
              <w:rPr>
                <w:rFonts w:ascii="Calibri" w:cs="Calibri" w:hAnsi="Calibri"/>
                <w:sz w:val="22"/>
              </w:rPr>
              <w:t xml:space="preserve">3.9. Faenas</w:t>
              <w:tab/>
              <w:t>14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3">
            <w:r>
              <w:rPr>
                <w:rFonts w:ascii="Calibri" w:cs="Calibri" w:hAnsi="Calibri"/>
                <w:sz w:val="22"/>
              </w:rPr>
              <w:t xml:space="preserve">3.10. Panel de administración</w:t>
              <w:tab/>
              <w:t>15</w:t>
            </w:r>
          </w:hyperlink>
          <w:r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line="276" w:lineRule="auto"/>
        <w:jc w:val="both"/>
        <w:rPr>
          <w:b w:val="1"/>
          <w:bCs w:val="1"/>
          <w:color w:val="3660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30/10/2026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Acredittia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del documento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bookmarkStart w:id="101" w:name="_Toc_acr_101"/>
      <w:bookmarkEnd w:id="101"/>
      <w:r>
        <w:rPr/>
        <w:t xml:space="preserve">Introducción</w:t>
      </w:r>
    </w:p>
    <w:p>
      <w:pPr>
        <w:spacing w:before="120" w:after="120" w:line="276" w:lineRule="auto"/>
        <w:jc w:val="both"/>
      </w:pPr>
      <w:r>
        <w:rPr/>
        <w:t xml:space="preserve">Este documento presenta las pantallas de la plataforma web de Acredittia. Son capturas del frontend implementado (Next.js 14 y Tailwind CSS, derivado del wireframe funcional entregado por Alloxentric) funcionando conectado a la API, con datos de demostración: una empresa contratista con tres contratos en faenas de Codelco y AMSA, ocho trabajadores y cuatro equipos.</w:t>
      </w:r>
    </w:p>
    <w:p>
      <w:pPr>
        <w:spacing w:before="120" w:after="120" w:line="276" w:lineRule="auto"/>
        <w:jc w:val="both"/>
      </w:pPr>
      <w:r>
        <w:rPr/>
        <w:t xml:space="preserve">Cada pantalla indica los requerimientos funcionales que atiende, según el Documento de Requerimientos (IEEE 29148).</w:t>
      </w:r>
    </w:p>
    <w:p>
      <w:pPr>
        <w:pStyle w:val="Heading1"/>
        <w:numPr>
          <w:ilvl w:val="0"/>
          <w:numId w:val="2"/>
        </w:numPr>
      </w:pPr>
      <w:bookmarkStart w:id="102" w:name="_Toc_acr_102"/>
      <w:bookmarkEnd w:id="102"/>
      <w:r>
        <w:rPr/>
        <w:t xml:space="preserve">Mapa de pantallas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700"/>
        <w:gridCol w:w="3400"/>
        <w:gridCol w:w="1800"/>
        <w:gridCol w:w="2800"/>
      </w:tblGrid>
      <w:tr>
        <w:trPr>
          <w:cantSplit/>
          <w:tblHeader/>
        </w:trPr>
        <w:tc>
          <w:tcPr>
            <w:tcW w:w="7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N°</w:t>
            </w:r>
          </w:p>
        </w:tc>
        <w:tc>
          <w:tcPr>
            <w:tcW w:w="34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Pantalla</w:t>
            </w:r>
          </w:p>
        </w:tc>
        <w:tc>
          <w:tcPr>
            <w:tcW w:w="18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Rol</w:t>
            </w:r>
          </w:p>
        </w:tc>
        <w:tc>
          <w:tcPr>
            <w:tcW w:w="28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Inicio de sesión y registro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RF-01, RF-03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RF-17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RF-06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Detalle de contrato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RF-06, RF-07, RF-09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Personal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RF-10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Ficha de trabajador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RF-10, RF-12, RF-16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Equipos y vehículos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RF-10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Alertas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RF-13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Faenas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RF-05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Panel de administración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RF-02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1"/>
        <w:numPr>
          <w:ilvl w:val="0"/>
          <w:numId w:val="2"/>
        </w:numPr>
      </w:pPr>
      <w:bookmarkStart w:id="103" w:name="_Toc_acr_103"/>
      <w:bookmarkEnd w:id="103"/>
      <w:r>
        <w:rPr/>
        <w:t xml:space="preserve">Pantallas</w:t>
      </w:r>
    </w:p>
    <w:p>
      <w:pPr>
        <w:pStyle w:val="Heading2"/>
        <w:numPr>
          <w:ilvl w:val="1"/>
          <w:numId w:val="2"/>
        </w:numPr>
      </w:pPr>
      <w:bookmarkStart w:id="104" w:name="_Toc_acr_104"/>
      <w:bookmarkEnd w:id="104"/>
      <w:r>
        <w:rPr/>
        <w:t xml:space="preserve">Inicio de sesión y registro</w:t>
      </w:r>
    </w:p>
    <w:p>
      <w:pPr>
        <w:spacing w:before="120" w:after="120" w:line="276" w:lineRule="auto"/>
        <w:jc w:val="both"/>
      </w:pPr>
      <w:r>
        <w:rPr/>
        <w:t xml:space="preserve">Acceso con email y contraseña, y pestaña para que una empresa contratista cree su cuenta. La cuenta nueva queda pendiente hasta que un administrador la aprueba.</w:t>
      </w:r>
    </w:p>
    <w:p>
      <w:pPr>
        <w:keepNext/>
        <w:jc w:val="center"/>
      </w:pPr>
      <w:r>
        <w:drawing>
          <wp:inline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de_se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1. Inicio de sesión y registro</w:t>
      </w:r>
    </w:p>
    <w:p>
      <w:pPr>
        <w:pStyle w:val="Heading2"/>
        <w:pageBreakBefore w:val="1"/>
        <w:numPr>
          <w:ilvl w:val="1"/>
          <w:numId w:val="2"/>
        </w:numPr>
      </w:pPr>
      <w:bookmarkStart w:id="105" w:name="_Toc_acr_105"/>
      <w:bookmarkEnd w:id="105"/>
      <w:r>
        <w:rPr/>
        <w:t xml:space="preserve">Dashboard</w:t>
      </w:r>
    </w:p>
    <w:p>
      <w:pPr>
        <w:spacing w:before="120" w:after="120" w:line="276" w:lineRule="auto"/>
        <w:jc w:val="both"/>
      </w:pPr>
      <w:r>
        <w:rPr/>
        <w:t xml:space="preserve">Resumen de la empresa: contratos y faenas activas, personal y equipos acreditados, documentos al día, alertas críticas y advertencias, cumplimiento por contrato, próximos vencimientos y actividad reciente.</w:t>
      </w:r>
    </w:p>
    <w:p>
      <w:pPr>
        <w:keepNext/>
        <w:jc w:val="center"/>
      </w:pPr>
      <w:r>
        <w:drawing>
          <wp:inline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2. Dashboard</w:t>
      </w:r>
    </w:p>
    <w:p>
      <w:pPr>
        <w:pStyle w:val="Heading2"/>
        <w:pageBreakBefore w:val="1"/>
        <w:numPr>
          <w:ilvl w:val="1"/>
          <w:numId w:val="2"/>
        </w:numPr>
      </w:pPr>
      <w:bookmarkStart w:id="106" w:name="_Toc_acr_106"/>
      <w:bookmarkEnd w:id="106"/>
      <w:r>
        <w:rPr/>
        <w:t xml:space="preserve">Contratos</w:t>
      </w:r>
    </w:p>
    <w:p>
      <w:pPr>
        <w:spacing w:before="120" w:after="120" w:line="276" w:lineRule="auto"/>
        <w:jc w:val="both"/>
      </w:pPr>
      <w:r>
        <w:rPr/>
        <w:t xml:space="preserve">Listado de contratos con su faena, estado, porcentaje de cumplimiento y la acreditación de su personal y equipos.</w:t>
      </w:r>
    </w:p>
    <w:p>
      <w:pPr>
        <w:keepNext/>
        <w:jc w:val="center"/>
      </w:pPr>
      <w:r>
        <w:drawing>
          <wp:inline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3. Contratos</w:t>
      </w:r>
    </w:p>
    <w:p>
      <w:pPr>
        <w:pStyle w:val="Heading2"/>
        <w:pageBreakBefore w:val="1"/>
        <w:numPr>
          <w:ilvl w:val="1"/>
          <w:numId w:val="2"/>
        </w:numPr>
      </w:pPr>
      <w:bookmarkStart w:id="107" w:name="_Toc_acr_107"/>
      <w:bookmarkEnd w:id="107"/>
      <w:r>
        <w:rPr/>
        <w:t xml:space="preserve">Detalle de contrato</w:t>
      </w:r>
    </w:p>
    <w:p>
      <w:pPr>
        <w:spacing w:before="120" w:after="120" w:line="276" w:lineRule="auto"/>
        <w:jc w:val="both"/>
      </w:pPr>
      <w:r>
        <w:rPr/>
        <w:t xml:space="preserve">Vista del contrato con pestañas de resumen, documentos de la empresa, personal, equipos, matriz de cumplimiento, alertas e historial.</w:t>
      </w:r>
    </w:p>
    <w:p>
      <w:pPr>
        <w:keepNext/>
        <w:jc w:val="center"/>
      </w:pPr>
      <w:r>
        <w:drawing>
          <wp:inline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talle_de_contra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4. Detalle de contrato</w:t>
      </w:r>
    </w:p>
    <w:p>
      <w:pPr>
        <w:pStyle w:val="Heading2"/>
        <w:pageBreakBefore w:val="1"/>
        <w:numPr>
          <w:ilvl w:val="1"/>
          <w:numId w:val="2"/>
        </w:numPr>
      </w:pPr>
      <w:bookmarkStart w:id="108" w:name="_Toc_acr_108"/>
      <w:bookmarkEnd w:id="108"/>
      <w:r>
        <w:rPr/>
        <w:t xml:space="preserve">Personal</w:t>
      </w:r>
    </w:p>
    <w:p>
      <w:pPr>
        <w:spacing w:before="120" w:after="120" w:line="276" w:lineRule="auto"/>
        <w:jc w:val="both"/>
      </w:pPr>
      <w:r>
        <w:rPr/>
        <w:t xml:space="preserve">Trabajadores con su RUT, cargo, contrato, si es conductor, estado de acreditación y porcentaje de cumplimiento, con filtros por estado, contrato y cargo.</w:t>
      </w:r>
    </w:p>
    <w:p>
      <w:pPr>
        <w:keepNext/>
        <w:jc w:val="center"/>
      </w:pPr>
      <w:r>
        <w:drawing>
          <wp:inline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s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5. Personal</w:t>
      </w:r>
    </w:p>
    <w:p>
      <w:pPr>
        <w:pStyle w:val="Heading2"/>
        <w:pageBreakBefore w:val="1"/>
        <w:numPr>
          <w:ilvl w:val="1"/>
          <w:numId w:val="2"/>
        </w:numPr>
      </w:pPr>
      <w:bookmarkStart w:id="109" w:name="_Toc_acr_109"/>
      <w:bookmarkEnd w:id="109"/>
      <w:r>
        <w:rPr/>
        <w:t xml:space="preserve">Ficha de trabajador</w:t>
      </w:r>
    </w:p>
    <w:p>
      <w:pPr>
        <w:spacing w:before="120" w:after="120" w:line="276" w:lineRule="auto"/>
        <w:jc w:val="both"/>
      </w:pPr>
      <w:r>
        <w:rPr/>
        <w:t xml:space="preserve">Checklist de documentos requeridos generado automáticamente según el cargo. Cada documento muestra su estado y vencimiento, y permite ver un ejemplo, marcarlo y subir el archivo.</w:t>
      </w:r>
    </w:p>
    <w:p>
      <w:pPr>
        <w:keepNext/>
        <w:jc w:val="center"/>
      </w:pPr>
      <w:r>
        <w:drawing>
          <wp:inline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cha_de_trabaj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6. Ficha de trabajador</w:t>
      </w:r>
    </w:p>
    <w:p>
      <w:pPr>
        <w:pStyle w:val="Heading2"/>
        <w:pageBreakBefore w:val="1"/>
        <w:numPr>
          <w:ilvl w:val="1"/>
          <w:numId w:val="2"/>
        </w:numPr>
      </w:pPr>
      <w:bookmarkStart w:id="110" w:name="_Toc_acr_110"/>
      <w:bookmarkEnd w:id="110"/>
      <w:r>
        <w:rPr/>
        <w:t xml:space="preserve">Equipos y vehículos</w:t>
      </w:r>
    </w:p>
    <w:p>
      <w:pPr>
        <w:spacing w:before="120" w:after="120" w:line="276" w:lineRule="auto"/>
        <w:jc w:val="both"/>
      </w:pPr>
      <w:r>
        <w:rPr/>
        <w:t xml:space="preserve">Equipos por patente con tipo, marca y modelo, año, contrato, estado y cumplimiento.</w:t>
      </w:r>
    </w:p>
    <w:p>
      <w:pPr>
        <w:keepNext/>
        <w:jc w:val="center"/>
      </w:pPr>
      <w:r>
        <w:drawing>
          <wp:inline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quipos_y_vehicul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7. Equipos y vehículos</w:t>
      </w:r>
    </w:p>
    <w:p>
      <w:pPr>
        <w:pStyle w:val="Heading2"/>
        <w:pageBreakBefore w:val="1"/>
        <w:numPr>
          <w:ilvl w:val="1"/>
          <w:numId w:val="2"/>
        </w:numPr>
      </w:pPr>
      <w:bookmarkStart w:id="111" w:name="_Toc_acr_111"/>
      <w:bookmarkEnd w:id="111"/>
      <w:r>
        <w:rPr/>
        <w:t xml:space="preserve">Alertas</w:t>
      </w:r>
    </w:p>
    <w:p>
      <w:pPr>
        <w:spacing w:before="120" w:after="120" w:line="276" w:lineRule="auto"/>
        <w:jc w:val="both"/>
      </w:pPr>
      <w:r>
        <w:rPr/>
        <w:t xml:space="preserve">Bandeja de alertas de vencimiento clasificadas por severidad, con acciones para marcarlas como leídas, en progreso o resueltas.</w:t>
      </w:r>
    </w:p>
    <w:p>
      <w:pPr>
        <w:keepNext/>
        <w:jc w:val="center"/>
      </w:pPr>
      <w:r>
        <w:drawing>
          <wp:inline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ler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8. Alertas</w:t>
      </w:r>
    </w:p>
    <w:p>
      <w:pPr>
        <w:pStyle w:val="Heading2"/>
        <w:pageBreakBefore w:val="1"/>
        <w:numPr>
          <w:ilvl w:val="1"/>
          <w:numId w:val="2"/>
        </w:numPr>
      </w:pPr>
      <w:bookmarkStart w:id="112" w:name="_Toc_acr_112"/>
      <w:bookmarkEnd w:id="112"/>
      <w:r>
        <w:rPr/>
        <w:t xml:space="preserve">Faenas</w:t>
      </w:r>
    </w:p>
    <w:p>
      <w:pPr>
        <w:spacing w:before="120" w:after="120" w:line="276" w:lineRule="auto"/>
        <w:jc w:val="both"/>
      </w:pPr>
      <w:r>
        <w:rPr/>
        <w:t xml:space="preserve">Catálogo de faenas agrupadas por mandante (Codelco, AMSA, Lundin), con la cantidad de contratos, personal y equipos de la empresa en cada una.</w:t>
      </w:r>
    </w:p>
    <w:p>
      <w:pPr>
        <w:keepNext/>
        <w:jc w:val="center"/>
      </w:pPr>
      <w:r>
        <w:drawing>
          <wp:inline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aen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9. Faenas</w:t>
      </w:r>
    </w:p>
    <w:p>
      <w:pPr>
        <w:pStyle w:val="Heading2"/>
        <w:pageBreakBefore w:val="1"/>
        <w:numPr>
          <w:ilvl w:val="1"/>
          <w:numId w:val="2"/>
        </w:numPr>
      </w:pPr>
      <w:bookmarkStart w:id="113" w:name="_Toc_acr_113"/>
      <w:bookmarkEnd w:id="113"/>
      <w:r>
        <w:rPr/>
        <w:t xml:space="preserve">Panel de administración</w:t>
      </w:r>
    </w:p>
    <w:p>
      <w:pPr>
        <w:spacing w:before="120" w:after="120" w:line="276" w:lineRule="auto"/>
        <w:jc w:val="both"/>
      </w:pPr>
      <w:r>
        <w:rPr/>
        <w:t xml:space="preserve">Vista del administrador de la plataforma: empresas registradas, solicitudes pendientes de aprobación y cumplimiento global.</w:t>
      </w:r>
    </w:p>
    <w:p>
      <w:pPr>
        <w:keepNext/>
        <w:jc w:val="center"/>
      </w:pPr>
      <w:r>
        <w:drawing>
          <wp:inline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nel_de_administr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Figura 10. Panel de administración</w:t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pPr>
    <w:r w:rsidDel="00000000" w:rsidR="00000000" w:rsidRPr="00000000">
      <w:rPr>
        <w:rtl w:val="0"/>
      </w:rPr>
      <w:tab/>
      <w:t xml:space="preserve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  <w:rtl w:val="0"/>
      </w:rPr>
      <w:t xml:space="preserve">Mockups de la Interfaz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-706893</wp:posOffset>
          </wp:positionH>
          <wp:positionV relativeFrom="paragraph">
            <wp:posOffset>-187638</wp:posOffset>
          </wp:positionV>
          <wp:extent cx="1773697" cy="434375"/>
          <wp:effectExtent b="0" l="0" r="0" t="0"/>
          <wp:wrapSquare wrapText="bothSides" distB="0" distT="0" distL="114300" distR="11430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3697" cy="43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240" w:lineRule="auto"/>
      <w:jc w:val="both"/>
      <w:rPr/>
    </w:pPr>
    <w:r w:rsidDel="00000000" w:rsidR="00000000" w:rsidRPr="00000000">
      <w:rPr/>
      <w:drawing>
        <wp:inline distB="0" distT="0" distL="0" distR="0">
          <wp:extent cx="2528079" cy="593408"/>
          <wp:effectExtent b="0" l="0" r="0" t="0"/>
          <wp:docPr descr="http://www.duoc.cl/sites/default/files/logo_summit_0.png" id="14" name="image2.png"/>
          <a:graphic>
            <a:graphicData uri="http://schemas.openxmlformats.org/drawingml/2006/picture">
              <pic:pic>
                <pic:nvPicPr>
                  <pic:cNvPr descr="http://www.duoc.cl/sites/default/files/logo_summit_0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8079" cy="5934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1f497d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360"/>
      <w:jc w:val="both"/>
    </w:pPr>
    <w:rPr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  <w:ind w:left="792" w:hanging="432"/>
      <w:jc w:val="both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link w:val="PrrafodelistaCar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VGS1" w:customStyle="1">
    <w:name w:val="VGS1"/>
    <w:basedOn w:val="Prrafodelista"/>
    <w:link w:val="VGS1Car"/>
    <w:qFormat w:val="1"/>
    <w:rsid w:val="00A92FF1"/>
    <w:pPr>
      <w:numPr>
        <w:numId w:val="11"/>
      </w:numPr>
    </w:pPr>
    <w:rPr>
      <w:color w:val="1f497d" w:themeColor="text2"/>
      <w:sz w:val="28"/>
    </w:rPr>
  </w:style>
  <w:style w:type="paragraph" w:styleId="VGS2" w:customStyle="1">
    <w:name w:val="VGS2"/>
    <w:basedOn w:val="Prrafodelista"/>
    <w:link w:val="VGS2Car"/>
    <w:qFormat w:val="1"/>
    <w:rsid w:val="00A92FF1"/>
    <w:pPr>
      <w:numPr>
        <w:ilvl w:val="1"/>
        <w:numId w:val="11"/>
      </w:numPr>
    </w:pPr>
    <w:rPr>
      <w:sz w:val="24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A92FF1"/>
  </w:style>
  <w:style w:type="character" w:styleId="VGS1Car" w:customStyle="1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styleId="VGS2Car" w:customStyle="1">
    <w:name w:val="VGS2 Car"/>
    <w:basedOn w:val="PrrafodelistaCar"/>
    <w:link w:val="VGS2"/>
    <w:rsid w:val="00A92FF1"/>
    <w:rPr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vV62Fav3cW6IuKDpqf95rmc6A==">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2019-10-26T00:25:00Z</dcterms:created>
  <dc:creator>BQuevedo</dc:creator>
</cp:coreProperties>
</file>