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1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Plan de Pruebas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Aseguramiento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Acredittia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98.0" w:type="dxa"/>
        <w:jc w:val="left"/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2704902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instrText xml:space="preserve"> TOC \h \u \z \t "Heading 1,1,Heading 2,2," </w:instrText>
          </w:r>
          <w:r>
            <w:fldChar w:fldCharType="separate"/>
          </w:r>
          <w:hyperlink w:anchor="_Toc_acr_101">
            <w:r>
              <w:rPr>
                <w:rFonts w:ascii="Calibri" w:cs="Calibri" w:hAnsi="Calibri"/>
                <w:b w:val="1"/>
                <w:sz w:val="22"/>
              </w:rPr>
              <w:t xml:space="preserve">1. Propósito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2">
            <w:r>
              <w:rPr>
                <w:rFonts w:ascii="Calibri" w:cs="Calibri" w:hAnsi="Calibri"/>
                <w:b w:val="1"/>
                <w:sz w:val="22"/>
              </w:rPr>
              <w:t xml:space="preserve">2. Alcance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3">
            <w:r>
              <w:rPr>
                <w:rFonts w:ascii="Calibri" w:cs="Calibri" w:hAnsi="Calibri"/>
                <w:sz w:val="22"/>
              </w:rPr>
              <w:t xml:space="preserve">2.1. Dentro del alcance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4">
            <w:r>
              <w:rPr>
                <w:rFonts w:ascii="Calibri" w:cs="Calibri" w:hAnsi="Calibri"/>
                <w:sz w:val="22"/>
              </w:rPr>
              <w:t xml:space="preserve">2.2. Fuera del alcance de esta versión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5">
            <w:r>
              <w:rPr>
                <w:rFonts w:ascii="Calibri" w:cs="Calibri" w:hAnsi="Calibri"/>
                <w:b w:val="1"/>
                <w:sz w:val="22"/>
              </w:rPr>
              <w:t xml:space="preserve">3. Estrategia y niveles de prueba</w:t>
              <w:tab/>
              <w:t>5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6">
            <w:r>
              <w:rPr>
                <w:rFonts w:ascii="Calibri" w:cs="Calibri" w:hAnsi="Calibri"/>
                <w:sz w:val="22"/>
              </w:rPr>
              <w:t xml:space="preserve">3.1. Tipos de prueba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7">
            <w:r>
              <w:rPr>
                <w:rFonts w:ascii="Calibri" w:cs="Calibri" w:hAnsi="Calibri"/>
                <w:b w:val="1"/>
                <w:sz w:val="22"/>
              </w:rPr>
              <w:t xml:space="preserve">4. Entorno de pruebas</w:t>
              <w:tab/>
              <w:t>6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8">
            <w:r>
              <w:rPr>
                <w:rFonts w:ascii="Calibri" w:cs="Calibri" w:hAnsi="Calibri"/>
                <w:b w:val="1"/>
                <w:sz w:val="22"/>
              </w:rPr>
              <w:t xml:space="preserve">5. Datos de prueba</w:t>
              <w:tab/>
              <w:t>7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09">
            <w:r>
              <w:rPr>
                <w:rFonts w:ascii="Calibri" w:cs="Calibri" w:hAnsi="Calibri"/>
                <w:b w:val="1"/>
                <w:sz w:val="22"/>
              </w:rPr>
              <w:t xml:space="preserve">6. Trazabilidad requisitos y pruebas</w:t>
              <w:tab/>
              <w:t>7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0">
            <w:r>
              <w:rPr>
                <w:rFonts w:ascii="Calibri" w:cs="Calibri" w:hAnsi="Calibri"/>
                <w:b w:val="1"/>
                <w:sz w:val="22"/>
              </w:rPr>
              <w:t xml:space="preserve">7. Criterios de entrada y salida</w:t>
              <w:tab/>
              <w:t>8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1">
            <w:r>
              <w:rPr>
                <w:rFonts w:ascii="Calibri" w:cs="Calibri" w:hAnsi="Calibri"/>
                <w:sz w:val="22"/>
              </w:rPr>
              <w:t xml:space="preserve">7.1. Criterios de entrada</w:t>
              <w:tab/>
              <w:t>8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2">
            <w:r>
              <w:rPr>
                <w:rFonts w:ascii="Calibri" w:cs="Calibri" w:hAnsi="Calibri"/>
                <w:sz w:val="22"/>
              </w:rPr>
              <w:t xml:space="preserve">7.2. Criterios de salida</w:t>
              <w:tab/>
              <w:t>8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3">
            <w:r>
              <w:rPr>
                <w:rFonts w:ascii="Calibri" w:cs="Calibri" w:hAnsi="Calibri"/>
                <w:sz w:val="22"/>
              </w:rPr>
              <w:t xml:space="preserve">7.3. Criterios de suspensión</w:t>
              <w:tab/>
              <w:t>8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4">
            <w:r>
              <w:rPr>
                <w:rFonts w:ascii="Calibri" w:cs="Calibri" w:hAnsi="Calibri"/>
                <w:b w:val="1"/>
                <w:sz w:val="22"/>
              </w:rPr>
              <w:t xml:space="preserve">8. Gestión de defectos</w:t>
              <w:tab/>
              <w:t>8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5">
            <w:r>
              <w:rPr>
                <w:rFonts w:ascii="Calibri" w:cs="Calibri" w:hAnsi="Calibri"/>
                <w:b w:val="1"/>
                <w:sz w:val="22"/>
              </w:rPr>
              <w:t xml:space="preserve">9. Calendario de pruebas</w:t>
              <w:tab/>
              <w:t>9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6">
            <w:r>
              <w:rPr>
                <w:rFonts w:ascii="Calibri" w:cs="Calibri" w:hAnsi="Calibri"/>
                <w:b w:val="1"/>
                <w:sz w:val="22"/>
              </w:rPr>
              <w:t xml:space="preserve">10. Roles y responsabilidades</w:t>
              <w:tab/>
              <w:t>9</w:t>
            </w:r>
          </w:hyperlink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acr_117">
            <w:r>
              <w:rPr>
                <w:rFonts w:ascii="Calibri" w:cs="Calibri" w:hAnsi="Calibri"/>
                <w:b w:val="1"/>
                <w:sz w:val="22"/>
              </w:rPr>
              <w:t xml:space="preserve">11. Riesgos de las pruebas</w:t>
              <w:tab/>
              <w:t>9</w:t>
            </w:r>
          </w:hyperlink>
          <w:r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line="276" w:lineRule="auto"/>
        <w:jc w:val="both"/>
        <w:rPr>
          <w:b w:val="1"/>
          <w:bCs w:val="1"/>
          <w:color w:val="3660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30/10/2026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Equipo Acredittia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Creación del documento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bookmarkStart w:id="101" w:name="_Toc_acr_101"/>
      <w:bookmarkEnd w:id="101"/>
      <w:r>
        <w:rPr/>
        <w:t xml:space="preserve">Propósito</w:t>
      </w:r>
    </w:p>
    <w:p>
      <w:pPr>
        <w:spacing w:before="120" w:after="120" w:line="276" w:lineRule="auto"/>
        <w:jc w:val="both"/>
      </w:pPr>
      <w:r>
        <w:rPr/>
        <w:t xml:space="preserve">Este plan define cómo se verifica que Acredittia cumple sus requerimientos funcionales y no funcionales: qué se prueba, con qué niveles y herramientas, en qué entorno, con qué datos y bajo qué criterios se considera aprobada una entrega. Se aplica a la API REST (FastAPI), al modelo de datos PostgreSQL y a los procesos asíncronos del backend, y define las pruebas de interfaz y de aceptación (UAT) de la plataforma web.</w:t>
      </w:r>
    </w:p>
    <w:p>
      <w:pPr>
        <w:pStyle w:val="Heading1"/>
        <w:numPr>
          <w:ilvl w:val="0"/>
          <w:numId w:val="2"/>
        </w:numPr>
      </w:pPr>
      <w:bookmarkStart w:id="102" w:name="_Toc_acr_102"/>
      <w:bookmarkEnd w:id="102"/>
      <w:r>
        <w:rPr/>
        <w:t xml:space="preserve">Alcance</w:t>
      </w:r>
    </w:p>
    <w:p>
      <w:pPr>
        <w:pStyle w:val="Heading2"/>
        <w:numPr>
          <w:ilvl w:val="1"/>
          <w:numId w:val="2"/>
        </w:numPr>
      </w:pPr>
      <w:bookmarkStart w:id="103" w:name="_Toc_acr_103"/>
      <w:bookmarkEnd w:id="103"/>
      <w:r>
        <w:rPr/>
        <w:t xml:space="preserve">Dentro del alcance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Autenticación, aprobación de empresas, roles y gestión de usuarios (RF-01 a RF-04).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Contratos, herencia de plataformas, checklists autogenerados y requisitos propios (RF-06, RF-07, RF-09; RN-04, RN-06).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Bóveda de credenciales cifrada en JWE (RF-08).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Personal, equipos, vistas consolidadas y expediente EMSIPOR / LIM (RF-10, RF-11, RF-16).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Gestión documental con SAS URLs y revisión IA (RF-12, RF-14; RN-03).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Vencimientos, alertas, dashboard, calendario y auditoría (RF-13, RF-17; RN-02; RNF-06).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Reportes PDF/Excel, programaciones y exportaciones (RF-18).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Aislamiento multi-tenant con Row-Level Security y segregación de roles de base de datos (RNF-01, RNF-02, RNF-03).</w:t>
      </w:r>
    </w:p>
    <w:p>
      <w:pPr>
        <w:pStyle w:val="Heading2"/>
        <w:numPr>
          <w:ilvl w:val="1"/>
          <w:numId w:val="2"/>
        </w:numPr>
      </w:pPr>
      <w:bookmarkStart w:id="104" w:name="_Toc_acr_104"/>
      <w:bookmarkEnd w:id="104"/>
      <w:r>
        <w:rPr/>
        <w:t xml:space="preserve">Fuera del alcance de esta versión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Consola de operaciones /admin/ops (RF-21), priorizada como Won't en el backlog.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Conexión real con plataformas del mandante, envío de correo/WhatsApp y cobro con pasarela (partes pendientes de RF-18, RF-19 y RF-20). Se prueban los endpoints, no el proveedor externo.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Pruebas de carga de RNF-08, planificadas para la etapa de estabilización.</w:t>
      </w:r>
    </w:p>
    <w:p>
      <w:pPr>
        <w:pStyle w:val="Heading1"/>
        <w:numPr>
          <w:ilvl w:val="0"/>
          <w:numId w:val="2"/>
        </w:numPr>
      </w:pPr>
      <w:bookmarkStart w:id="105" w:name="_Toc_acr_105"/>
      <w:bookmarkEnd w:id="105"/>
      <w:r>
        <w:rPr/>
        <w:t xml:space="preserve">Estrategia y niveles de prueba</w:t>
      </w:r>
    </w:p>
    <w:p>
      <w:pPr>
        <w:spacing w:before="120" w:after="120" w:line="276" w:lineRule="auto"/>
        <w:jc w:val="both"/>
      </w:pPr>
      <w:r>
        <w:rPr/>
        <w:t xml:space="preserve">La estrategia sigue el desarrollo incremental del proyecto: cada incremento entrega sus módulos junto con sus pruebas automatizadas, y la suite completa se ejecuta antes de integrar cada Pull Request. Las pruebas verifican el comportamiento observable de la API (código HTTP, cuerpo y código de error), no detalles internos, para que sobrevivan a refactorizaciones.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1650"/>
        <w:gridCol w:w="3550"/>
        <w:gridCol w:w="2250"/>
        <w:gridCol w:w="1250"/>
      </w:tblGrid>
      <w:tr>
        <w:trPr>
          <w:cantSplit/>
          <w:tblHeader/>
        </w:trPr>
        <w:tc>
          <w:tcPr>
            <w:tcW w:w="165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Nivel</w:t>
            </w:r>
          </w:p>
        </w:tc>
        <w:tc>
          <w:tcPr>
            <w:tcW w:w="355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Qué verifica</w:t>
            </w:r>
          </w:p>
        </w:tc>
        <w:tc>
          <w:tcPr>
            <w:tcW w:w="225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Herramienta</w:t>
            </w:r>
          </w:p>
        </w:tc>
        <w:tc>
          <w:tcPr>
            <w:tcW w:w="125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Integración de API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Cada endpoint con su regla de negocio: códigos HTTP, validaciones, errores tipificados y efectos en la base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pytest + httpx (TestClient de FastAPI)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Automatizado</w:t>
            </w:r>
          </w:p>
        </w:tc>
      </w:tr>
      <w:tr>
        <w:trPr>
          <w:cantSplit/>
        </w:trPr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Versión del esquema, RLS activo y forzado, privilegios por columna, triggers e invariantes de 05_verificacion.sql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pytest + SQLAlchemy sobre PostgreSQL 16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Automatizado</w:t>
            </w:r>
          </w:p>
        </w:tc>
      </w:tr>
      <w:tr>
        <w:trPr>
          <w:cantSplit/>
        </w:trPr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Que una empresa no vea datos de otra (aunque la consulta olvide filtrar) y que las credenciales JWE no se filtren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pytest con rol acredittia_app (NOBYPASSRLS)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Automatizado</w:t>
            </w:r>
          </w:p>
        </w:tc>
      </w:tr>
      <w:tr>
        <w:trPr>
          <w:cantSplit/>
        </w:trPr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API manual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Exploración de endpoints nuevos y regresión rápida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Colección Postman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En uso</w:t>
            </w:r>
          </w:p>
        </w:tc>
      </w:tr>
      <w:tr>
        <w:trPr>
          <w:cantSplit/>
        </w:trPr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Interfaz (E2E)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Flujos completos en el navegador: registro, aprobación, contrato, alta de trabajador, subida y revisión IA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Planificado</w:t>
            </w:r>
          </w:p>
        </w:tc>
      </w:tr>
      <w:tr>
        <w:trPr>
          <w:cantSplit/>
        </w:trPr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Aceptación (UAT)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Que el flujo de acreditación resuelve el problema del usuario contratista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Guion de UAT con usuarios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Planificado</w:t>
            </w:r>
          </w:p>
        </w:tc>
      </w:tr>
      <w:tr>
        <w:trPr>
          <w:cantSplit/>
        </w:trPr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Latencia p95 de listados y dashboard (RNF-08)</w:t>
            </w:r>
          </w:p>
        </w:tc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Locust o k6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Planificado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pStyle w:val="Heading2"/>
        <w:numPr>
          <w:ilvl w:val="1"/>
          <w:numId w:val="2"/>
        </w:numPr>
      </w:pPr>
      <w:bookmarkStart w:id="106" w:name="_Toc_acr_106"/>
      <w:bookmarkEnd w:id="106"/>
      <w:r>
        <w:rPr/>
        <w:t xml:space="preserve">Tipos de prueba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Funcionales positivas: </w:t>
      </w:r>
      <w:r>
        <w:rPr/>
        <w:t xml:space="preserve">el flujo correcto produce el resultado esperado (p. ej., crear un contrato genera sus 10 requisitos de empresa).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Funcionales negativas: </w:t>
      </w:r>
      <w:r>
        <w:rPr/>
        <w:t xml:space="preserve">entradas inválidas o no autorizadas se rechazan con el código y el error correctos (p. ej., RUT duplicado → 409 RUT_EN_USO).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Reglas de negocio: </w:t>
      </w:r>
      <w:r>
        <w:rPr/>
        <w:t xml:space="preserve">transiciones de estado de documentos, protección de requisitos base y herencia de plataformas.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Seguridad y aislamiento: </w:t>
      </w:r>
      <w:r>
        <w:rPr/>
        <w:t xml:space="preserve">acceso cruzado entre empresas, rol contract_admin limitado a su contrato y no fuga de secretos.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>
          <w:b w:val="1"/>
          <w:bCs w:val="1"/>
        </w:rPr>
        <w:t xml:space="preserve">Regresión: </w:t>
      </w:r>
      <w:r>
        <w:rPr/>
        <w:t xml:space="preserve">la suite completa se repite en cada Pull Request; los cambios incompatibles se registran en RUPTURAS.md.</w:t>
      </w:r>
    </w:p>
    <w:p>
      <w:pPr>
        <w:pStyle w:val="Heading1"/>
        <w:numPr>
          <w:ilvl w:val="0"/>
          <w:numId w:val="2"/>
        </w:numPr>
      </w:pPr>
      <w:bookmarkStart w:id="107" w:name="_Toc_acr_107"/>
      <w:bookmarkEnd w:id="107"/>
      <w:r>
        <w:rPr/>
        <w:t xml:space="preserve">Entorno de pruebas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2400"/>
        <w:gridCol w:w="6300"/>
      </w:tblGrid>
      <w:tr>
        <w:trPr>
          <w:cantSplit/>
          <w:tblHeader/>
        </w:trPr>
        <w:tc>
          <w:tcPr>
            <w:tcW w:w="24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Componente</w:t>
            </w:r>
          </w:p>
        </w:tc>
        <w:tc>
          <w:tcPr>
            <w:tcW w:w="63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Configuración</w:t>
            </w:r>
          </w:p>
        </w:tc>
      </w:tr>
      <w:tr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Lenguaje y framework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Python 3.12 · FastAPI · Pydantic v2 · SQLAlchemy 2.x</w:t>
            </w:r>
          </w:p>
        </w:tc>
      </w:tr>
      <w:tr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Ejecutor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pytest 8 (pytest.ini: testpaths = tests)</w:t>
            </w:r>
          </w:p>
        </w:tc>
      </w:tr>
      <w:tr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PostgreSQL 16 real y efímero (pgserver) con los scripts del esquema 01–06 aplicados. No se usa SQLite porque no soporta RLS, ENUM nativos, triggers PL/pgSQL ni privilegios por columna</w:t>
            </w:r>
          </w:p>
        </w:tc>
      </w:tr>
      <w:tr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Rol de conexión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acredittia_app (NOBYPASSRLS), igual que en producción; un segundo motor como dueño solo para preparar datos y verificar lo que la API no puede ver</w:t>
            </w:r>
          </w:p>
        </w:tc>
      </w:tr>
      <w:tr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Servicios externos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IA simulada (IA_BACKEND=simulada), almacenamiento local (STORAGE_BACKEND=local) y cola en proceso (QUEUE_BACKEND=inproc)</w:t>
            </w:r>
          </w:p>
        </w:tc>
      </w:tr>
      <w:tr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Limitación conocida</w:t>
            </w:r>
          </w:p>
        </w:tc>
        <w:tc>
          <w:tcPr>
            <w:tcW w:w="6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El entorno de pruebas no trae las extensiones citext ni pg_trgm: se emula citext como dominio de texto y se omiten 3 índices de trigrama (rendimiento, no corrección)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spacing w:before="120" w:after="120" w:line="276" w:lineRule="auto"/>
        <w:jc w:val="both"/>
      </w:pPr>
      <w:r>
        <w:rPr>
          <w:b w:val="1"/>
          <w:bCs w:val="1"/>
        </w:rPr>
        <w:t xml:space="preserve">Ejecución: </w:t>
      </w:r>
      <w:r>
        <w:rPr/>
        <w:t xml:space="preserve">desde app/backend, con los scripts del esquema disponibles en modelo_datos/:</w:t>
      </w:r>
    </w:p>
    <w:p>
      <w:pPr>
        <w:shd w:val="clear" w:fill="F2F2F2"/>
        <w:spacing w:before="60" w:after="60"/>
        <w:ind w:left="360"/>
      </w:pPr>
      <w:r>
        <w:rPr>
          <w:rFonts w:ascii="Courier New" w:hAnsi="Courier New" w:cs="Courier New" w:eastAsia="Courier New"/>
          <w:sz w:val="18"/>
          <w:szCs w:val="18"/>
        </w:rPr>
        <w:t xml:space="preserve">pytest -v --junitxml=resultados.xml --cov=app</w:t>
      </w:r>
    </w:p>
    <w:p>
      <w:pPr>
        <w:pStyle w:val="Heading1"/>
        <w:numPr>
          <w:ilvl w:val="0"/>
          <w:numId w:val="2"/>
        </w:numPr>
      </w:pPr>
      <w:bookmarkStart w:id="108" w:name="_Toc_acr_108"/>
      <w:bookmarkEnd w:id="108"/>
      <w:r>
        <w:rPr/>
        <w:t xml:space="preserve">Datos de prueba</w:t>
      </w:r>
    </w:p>
    <w:p>
      <w:pPr>
        <w:spacing w:before="120" w:after="120" w:line="276" w:lineRule="auto"/>
        <w:jc w:val="both"/>
      </w:pPr>
      <w:r>
        <w:rPr/>
        <w:t xml:space="preserve">Cada prueba parte de una base limpia y construye sus datos con fixtures reutilizables, para que ninguna dependa del orden de ejecución: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Administrador de la plataforma (insertado directamente: no existe registro público de admin).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Empresa A (Transportes Alfa SpA) y Empresa B, registradas, aprobadas y autenticadas, con RUT válidos generados.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Faena Los Pelambres del catálogo y un contrato por empresa en esa faena.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Trabajador conductor (activa el expediente EMSIPOR), equipos, documentos de requisito, alertas y credenciales de plataforma.</w:t>
      </w:r>
    </w:p>
    <w:p>
      <w:pPr>
        <w:pStyle w:val="Heading1"/>
        <w:numPr>
          <w:ilvl w:val="0"/>
          <w:numId w:val="2"/>
        </w:numPr>
      </w:pPr>
      <w:bookmarkStart w:id="109" w:name="_Toc_acr_109"/>
      <w:bookmarkEnd w:id="109"/>
      <w:r>
        <w:rPr/>
        <w:t xml:space="preserve">Trazabilidad requisitos y pruebas</w:t>
      </w:r>
    </w:p>
    <w:p>
      <w:pPr>
        <w:spacing w:before="120" w:after="120" w:line="276" w:lineRule="auto"/>
        <w:jc w:val="both"/>
      </w:pPr>
      <w:r>
        <w:rPr/>
        <w:t xml:space="preserve">La suite automatizada tiene 206 casos de prueba (241 ejecuciones contando las variantes parametrizadas). El detalle de cada caso está en Casos_de_prueba_Acredittia.xlsx.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2300"/>
        <w:gridCol w:w="2150"/>
        <w:gridCol w:w="800"/>
        <w:gridCol w:w="1150"/>
        <w:gridCol w:w="2300"/>
      </w:tblGrid>
      <w:tr>
        <w:trPr>
          <w:cantSplit/>
          <w:tblHeader/>
        </w:trPr>
        <w:tc>
          <w:tcPr>
            <w:tcW w:w="23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Módulo</w:t>
            </w:r>
          </w:p>
        </w:tc>
        <w:tc>
          <w:tcPr>
            <w:tcW w:w="215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Archivo</w:t>
            </w:r>
          </w:p>
        </w:tc>
        <w:tc>
          <w:tcPr>
            <w:tcW w:w="8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Casos</w:t>
            </w:r>
          </w:p>
        </w:tc>
        <w:tc>
          <w:tcPr>
            <w:tcW w:w="115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Ejecuciones</w:t>
            </w:r>
          </w:p>
        </w:tc>
        <w:tc>
          <w:tcPr>
            <w:tcW w:w="23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Requisitos cubiertos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Autenticación y cuentas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tests/test_auth.py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RF-01, RF-02, RF-03, RF-04, RNF-03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Contratos y requisitos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tests/test_contratos.py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RF-06, RF-07, RF-09, RN-04, RN-06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Gestión documental e IA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tests/test_documentos.py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RF-12, RF-14, RN-03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Esquema de base de datos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tests/test_esquema.py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RNF-01, RNF-02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Alertas, dashboard y calendario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tests/test_operacion.py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RF-13, RF-17, RN-02, RNF-06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Reportes y exportaciones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tests/test_reportes.py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RF-18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Personal, equipos y EMSIPOR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tests/test_sujetos.py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RF-10, RF-11, RF-16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Aislamiento multi-tenant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tests/test_tenants.py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RNF-01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Bóveda de credenciales JWE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tests/test_vault.py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RF-08, RNF-03</w:t>
            </w:r>
          </w:p>
        </w:tc>
      </w:tr>
      <w:tr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206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241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spacing w:before="120" w:after="120" w:line="276" w:lineRule="auto"/>
        <w:jc w:val="both"/>
      </w:pPr>
      <w:r>
        <w:rPr>
          <w:b w:val="1"/>
          <w:bCs w:val="1"/>
        </w:rPr>
        <w:t xml:space="preserve">Requisitos sin pruebas automatizadas todavía: </w:t>
      </w:r>
      <w:r>
        <w:rPr/>
        <w:t xml:space="preserve">RF-05 (catálogos maestros), RF-15 (extracción IA), RF-19 (integraciones), RF-20 (suscripciones y pagos) y RF-21 (consola Ops, fuera de alcance). RF-05, RF-15, RF-19 y RF-20 se cubrirán con pruebas de API en el siguiente incremento y con los flujos E2E.</w:t>
      </w:r>
    </w:p>
    <w:p>
      <w:pPr>
        <w:pStyle w:val="Heading1"/>
        <w:numPr>
          <w:ilvl w:val="0"/>
          <w:numId w:val="2"/>
        </w:numPr>
      </w:pPr>
      <w:bookmarkStart w:id="110" w:name="_Toc_acr_110"/>
      <w:bookmarkEnd w:id="110"/>
      <w:r>
        <w:rPr/>
        <w:t xml:space="preserve">Criterios de entrada y salida</w:t>
      </w:r>
    </w:p>
    <w:p>
      <w:pPr>
        <w:pStyle w:val="Heading2"/>
        <w:numPr>
          <w:ilvl w:val="1"/>
          <w:numId w:val="2"/>
        </w:numPr>
      </w:pPr>
      <w:bookmarkStart w:id="111" w:name="_Toc_acr_111"/>
      <w:bookmarkEnd w:id="111"/>
      <w:r>
        <w:rPr/>
        <w:t xml:space="preserve">Criterios de entrada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El código está integrado en la rama principal mediante Pull Request.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El esquema de base de datos está en la versión esperada (SCHEMA_VERSION = 6).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Las dependencias de requirements.txt están instaladas y los scripts del esquema están disponibles.</w:t>
      </w:r>
    </w:p>
    <w:p>
      <w:pPr>
        <w:pStyle w:val="Heading2"/>
        <w:numPr>
          <w:ilvl w:val="1"/>
          <w:numId w:val="2"/>
        </w:numPr>
      </w:pPr>
      <w:bookmarkStart w:id="112" w:name="_Toc_acr_112"/>
      <w:bookmarkEnd w:id="112"/>
      <w:r>
        <w:rPr/>
        <w:t xml:space="preserve">Criterios de salida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100 % de los casos de seguridad y aislamiento (test_tenants, test_vault, test_esquema) aprobados.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Al menos 95 % del total de casos aprobados, sin defectos abiertos de severidad crítica o alta.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Cobertura ≥ 80 % en la lógica de negocio nueva (RNF-12), medida con pytest-cov.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Flujos E2E principales y guion UAT ejecutados sin bloqueos antes del pase a producción.</w:t>
      </w:r>
    </w:p>
    <w:p>
      <w:pPr>
        <w:pStyle w:val="Heading2"/>
        <w:numPr>
          <w:ilvl w:val="1"/>
          <w:numId w:val="2"/>
        </w:numPr>
      </w:pPr>
      <w:bookmarkStart w:id="113" w:name="_Toc_acr_113"/>
      <w:bookmarkEnd w:id="113"/>
      <w:r>
        <w:rPr/>
        <w:t xml:space="preserve">Criterios de suspensión</w:t>
      </w:r>
    </w:p>
    <w:p>
      <w:pPr>
        <w:numPr>
          <w:ilvl w:val="0"/>
          <w:numId w:val="6"/>
        </w:numPr>
        <w:spacing w:before="40" w:after="40" w:line="276" w:lineRule="auto"/>
        <w:ind w:left="1080" w:hanging="360"/>
        <w:jc w:val="both"/>
      </w:pPr>
      <w:r>
        <w:rPr/>
        <w:t xml:space="preserve">Si falla la aplicación del esquema o la verificación de RLS, se detiene la ejecución, porque los resultados de aislamiento no serían válidos.</w:t>
      </w:r>
    </w:p>
    <w:p>
      <w:pPr>
        <w:pStyle w:val="Heading1"/>
        <w:numPr>
          <w:ilvl w:val="0"/>
          <w:numId w:val="2"/>
        </w:numPr>
      </w:pPr>
      <w:bookmarkStart w:id="114" w:name="_Toc_acr_114"/>
      <w:bookmarkEnd w:id="114"/>
      <w:r>
        <w:rPr/>
        <w:t xml:space="preserve">Gestión de defectos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1200"/>
        <w:gridCol w:w="3000"/>
        <w:gridCol w:w="2500"/>
        <w:gridCol w:w="2000"/>
      </w:tblGrid>
      <w:tr>
        <w:trPr>
          <w:cantSplit/>
          <w:tblHeader/>
        </w:trPr>
        <w:tc>
          <w:tcPr>
            <w:tcW w:w="12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Severidad</w:t>
            </w:r>
          </w:p>
        </w:tc>
        <w:tc>
          <w:tcPr>
            <w:tcW w:w="30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Definición</w:t>
            </w:r>
          </w:p>
        </w:tc>
        <w:tc>
          <w:tcPr>
            <w:tcW w:w="25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Ejemplo</w:t>
            </w:r>
          </w:p>
        </w:tc>
        <w:tc>
          <w:tcPr>
            <w:tcW w:w="20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Crítica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Fuga de datos entre empresas, pérdida de datos o caída del servicio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Empresa B ve un contrato de A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Se corrige antes de cualquier integración</w:t>
            </w:r>
          </w:p>
        </w:tc>
      </w:tr>
      <w:tr>
        <w:trPr>
          <w:cantSplit/>
        </w:trPr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Una funcionalidad Must no funciona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No se genera el checklist del contrato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Se corrige en el sprint en curso</w:t>
            </w:r>
          </w:p>
        </w:tc>
      </w:tr>
      <w:tr>
        <w:trPr>
          <w:cantSplit/>
        </w:trPr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Funciona con errores o falla un caso límite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Un filtro de listado ignora un parámetro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Se planifica en el siguiente sprint</w:t>
            </w:r>
          </w:p>
        </w:tc>
      </w:tr>
      <w:tr>
        <w:trPr>
          <w:cantSplit/>
        </w:trPr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Detalle de presentación o mensaje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Texto de error poco claro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Backlog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spacing w:before="120" w:after="120" w:line="276" w:lineRule="auto"/>
        <w:jc w:val="both"/>
      </w:pPr>
      <w:r>
        <w:rPr/>
        <w:t xml:space="preserve">Cada defecto se registra en el tablero de Jira con pasos para reproducirlo, el caso de prueba asociado (CP-…), la severidad y el responsable. Una corrección se cierra solo cuando su caso de prueba pasa en la suite completa.</w:t>
      </w:r>
    </w:p>
    <w:p>
      <w:pPr>
        <w:pStyle w:val="Heading1"/>
        <w:numPr>
          <w:ilvl w:val="0"/>
          <w:numId w:val="2"/>
        </w:numPr>
      </w:pPr>
      <w:bookmarkStart w:id="115" w:name="_Toc_acr_115"/>
      <w:bookmarkEnd w:id="115"/>
      <w:r>
        <w:rPr/>
        <w:t xml:space="preserve">Calendario de pruebas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2600"/>
        <w:gridCol w:w="6100"/>
      </w:tblGrid>
      <w:tr>
        <w:trPr>
          <w:cantSplit/>
          <w:tblHeader/>
        </w:trPr>
        <w:tc>
          <w:tcPr>
            <w:tcW w:w="26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Etapa</w:t>
            </w:r>
          </w:p>
        </w:tc>
        <w:tc>
          <w:tcPr>
            <w:tcW w:w="61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Actividades de prueba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Durante cada sprint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Pruebas automatizadas de cada módulo junto con su desarrollo; actualización de la colección Postman; regresión completa en cada Pull Request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Estabilización (antes del cierre)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Ejecución completa y registro de resultados; corrección de defectos críticos; pruebas E2E con Playwright; UAT; prueba de carga RNF-08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pStyle w:val="Heading1"/>
        <w:numPr>
          <w:ilvl w:val="0"/>
          <w:numId w:val="2"/>
        </w:numPr>
      </w:pPr>
      <w:bookmarkStart w:id="116" w:name="_Toc_acr_116"/>
      <w:bookmarkEnd w:id="116"/>
      <w:r>
        <w:rPr/>
        <w:t xml:space="preserve">Roles y responsabilidades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2600"/>
        <w:gridCol w:w="6100"/>
      </w:tblGrid>
      <w:tr>
        <w:trPr>
          <w:cantSplit/>
          <w:tblHeader/>
        </w:trPr>
        <w:tc>
          <w:tcPr>
            <w:tcW w:w="26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Rol</w:t>
            </w:r>
          </w:p>
        </w:tc>
        <w:tc>
          <w:tcPr>
            <w:tcW w:w="61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Responsabilidad en pruebas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Analista QA + Documentación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Mantiene este plan y los casos de prueba, ejecuta la suite, registra resultados y defectos, y coordina E2E y UAT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Backend (BE1 / BE2)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Escribe las pruebas de los endpoints que implementa y corrige los defectos de su módulo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Frontend (FE)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Escribe los flujos E2E con Playwright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Equipo completo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Revisa los Pull Requests: ninguno se integra con pruebas fallidas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p>
      <w:pPr>
        <w:pStyle w:val="Heading1"/>
        <w:numPr>
          <w:ilvl w:val="0"/>
          <w:numId w:val="2"/>
        </w:numPr>
      </w:pPr>
      <w:bookmarkStart w:id="117" w:name="_Toc_acr_117"/>
      <w:bookmarkEnd w:id="117"/>
      <w:r>
        <w:rPr/>
        <w:t xml:space="preserve">Riesgos de las pruebas</w:t>
      </w:r>
    </w:p>
    <w:tbl>
      <w:tblPr>
        <w:tblW w:w="870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</w:tblPr>
      <w:tblGrid>
        <w:gridCol w:w="3600"/>
        <w:gridCol w:w="5100"/>
      </w:tblGrid>
      <w:tr>
        <w:trPr>
          <w:cantSplit/>
          <w:tblHeader/>
        </w:trPr>
        <w:tc>
          <w:tcPr>
            <w:tcW w:w="36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Riesgo</w:t>
            </w:r>
          </w:p>
        </w:tc>
        <w:tc>
          <w:tcPr>
            <w:tcW w:w="5100" w:type="dxa"/>
            <w:shd w:fill="e6e6e6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b w:val="1"/>
                <w:bCs w:val="1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Probar sobre un esquema distinto al de producción</w:t>
            </w:r>
          </w:p>
        </w:tc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Se usa PostgreSQL 16 real con los mismos scripts SQL; se descarta SQLite</w:t>
            </w:r>
          </w:p>
        </w:tc>
      </w:tr>
      <w:tr>
        <w:trPr>
          <w:cantSplit/>
        </w:trPr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Que el superusuario oculte fallas de RLS</w:t>
            </w:r>
          </w:p>
        </w:tc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La API de pruebas se conecta con el rol acredittia_app, sin BYPASSRLS</w:t>
            </w:r>
          </w:p>
        </w:tc>
      </w:tr>
      <w:tr>
        <w:trPr>
          <w:cantSplit/>
        </w:trPr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Dependencia de servicios externos (IA, Azure, pasarela)</w:t>
            </w:r>
          </w:p>
        </w:tc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Modos simulados y locales en pruebas; los conectores reales se prueban aparte</w:t>
            </w:r>
          </w:p>
        </w:tc>
      </w:tr>
      <w:tr>
        <w:trPr>
          <w:cantSplit/>
        </w:trPr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Scripts del esquema fuera del repositorio</w:t>
            </w:r>
          </w:p>
        </w:tc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sz w:val="19"/>
                <w:szCs w:val="19"/>
              </w:rPr>
              <w:t xml:space="preserve">Versionar la carpeta modelo_datos/ en Backend_Acredita para que cualquiera pueda ejecutar la suite</w:t>
            </w:r>
          </w:p>
        </w:tc>
      </w:tr>
    </w:tbl>
    <w:p>
      <w:pPr>
        <w:spacing w:before="120" w:after="0" w:line="276" w:lineRule="auto"/>
        <w:jc w:val="both"/>
      </w:pPr>
      <w:r>
        <w:rPr/>
        <w:t xml:space="preserve"/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pPr>
    <w:r w:rsidDel="00000000" w:rsidR="00000000" w:rsidRPr="00000000">
      <w:rPr>
        <w:rtl w:val="0"/>
      </w:rPr>
      <w:tab/>
      <w:t xml:space="preserve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  <w:rtl w:val="0"/>
      </w:rPr>
      <w:t xml:space="preserve">Plan de Pruebas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-706893</wp:posOffset>
          </wp:positionH>
          <wp:positionV relativeFrom="paragraph">
            <wp:posOffset>-187638</wp:posOffset>
          </wp:positionV>
          <wp:extent cx="1773697" cy="434375"/>
          <wp:effectExtent b="0" l="0" r="0" t="0"/>
          <wp:wrapSquare wrapText="bothSides" distB="0" distT="0" distL="114300" distR="11430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3697" cy="43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line="240" w:lineRule="auto"/>
      <w:jc w:val="both"/>
      <w:rPr/>
    </w:pPr>
    <w:r w:rsidDel="00000000" w:rsidR="00000000" w:rsidRPr="00000000">
      <w:rPr/>
      <w:drawing>
        <wp:inline distB="0" distT="0" distL="0" distR="0">
          <wp:extent cx="2528079" cy="593408"/>
          <wp:effectExtent b="0" l="0" r="0" t="0"/>
          <wp:docPr descr="http://www.duoc.cl/sites/default/files/logo_summit_0.png" id="14" name="image2.png"/>
          <a:graphic>
            <a:graphicData uri="http://schemas.openxmlformats.org/drawingml/2006/picture">
              <pic:pic>
                <pic:nvPicPr>
                  <pic:cNvPr descr="http://www.duoc.cl/sites/default/files/logo_summit_0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8079" cy="5934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color w:val="1f497d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360"/>
      <w:jc w:val="both"/>
    </w:pPr>
    <w:rPr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  <w:ind w:left="792" w:hanging="432"/>
      <w:jc w:val="both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link w:val="PrrafodelistaCar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VGS1" w:customStyle="1">
    <w:name w:val="VGS1"/>
    <w:basedOn w:val="Prrafodelista"/>
    <w:link w:val="VGS1Car"/>
    <w:qFormat w:val="1"/>
    <w:rsid w:val="00A92FF1"/>
    <w:pPr>
      <w:numPr>
        <w:numId w:val="11"/>
      </w:numPr>
    </w:pPr>
    <w:rPr>
      <w:color w:val="1f497d" w:themeColor="text2"/>
      <w:sz w:val="28"/>
    </w:rPr>
  </w:style>
  <w:style w:type="paragraph" w:styleId="VGS2" w:customStyle="1">
    <w:name w:val="VGS2"/>
    <w:basedOn w:val="Prrafodelista"/>
    <w:link w:val="VGS2Car"/>
    <w:qFormat w:val="1"/>
    <w:rsid w:val="00A92FF1"/>
    <w:pPr>
      <w:numPr>
        <w:ilvl w:val="1"/>
        <w:numId w:val="11"/>
      </w:numPr>
    </w:pPr>
    <w:rPr>
      <w:sz w:val="24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A92FF1"/>
  </w:style>
  <w:style w:type="character" w:styleId="VGS1Car" w:customStyle="1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styleId="VGS2Car" w:customStyle="1">
    <w:name w:val="VGS2 Car"/>
    <w:basedOn w:val="PrrafodelistaCar"/>
    <w:link w:val="VGS2"/>
    <w:rsid w:val="00A92FF1"/>
    <w:rPr>
      <w:sz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vV62Fav3cW6IuKDpqf95rmc6A==">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2019-10-26T00:25:00Z</dcterms:created>
  <dc:creator>BQuevedo</dc:creator>
</cp:coreProperties>
</file>