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center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1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Resolución de Conflictos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Documento de 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Acredittia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98.0" w:type="dxa"/>
        <w:jc w:val="left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2704902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instrText xml:space="preserve"> TOC \h \u \z \t "Heading 1,1,Heading 2,2," </w:instrText>
          </w:r>
          <w:r>
            <w:fldChar w:fldCharType="separate"/>
          </w:r>
          <w:hyperlink w:anchor="_Toc_acr_101">
            <w:r>
              <w:rPr>
                <w:rFonts w:ascii="Calibri" w:cs="Calibri" w:hAnsi="Calibri"/>
                <w:b w:val="1"/>
                <w:sz w:val="22"/>
              </w:rPr>
              <w:t xml:space="preserve">1. Propósito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2">
            <w:r>
              <w:rPr>
                <w:rFonts w:ascii="Calibri" w:cs="Calibri" w:hAnsi="Calibri"/>
                <w:b w:val="1"/>
                <w:sz w:val="22"/>
              </w:rPr>
              <w:t xml:space="preserve">2. Alcance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3">
            <w:r>
              <w:rPr>
                <w:rFonts w:ascii="Calibri" w:cs="Calibri" w:hAnsi="Calibri"/>
                <w:b w:val="1"/>
                <w:sz w:val="22"/>
              </w:rPr>
              <w:t xml:space="preserve">3. Tipos de conflicto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4">
            <w:r>
              <w:rPr>
                <w:rFonts w:ascii="Calibri" w:cs="Calibri" w:hAnsi="Calibri"/>
                <w:b w:val="1"/>
                <w:sz w:val="22"/>
              </w:rPr>
              <w:t xml:space="preserve">4. Procedimiento de resolución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5">
            <w:r>
              <w:rPr>
                <w:rFonts w:ascii="Calibri" w:cs="Calibri" w:hAnsi="Calibri"/>
                <w:sz w:val="22"/>
              </w:rPr>
              <w:t xml:space="preserve">4.1. Pasos</w:t>
              <w:tab/>
              <w:t>6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6">
            <w:r>
              <w:rPr>
                <w:rFonts w:ascii="Calibri" w:cs="Calibri" w:hAnsi="Calibri"/>
                <w:b w:val="1"/>
                <w:sz w:val="22"/>
              </w:rPr>
              <w:t xml:space="preserve">5. Criterios de decisión</w:t>
              <w:tab/>
              <w:t>6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7">
            <w:r>
              <w:rPr>
                <w:rFonts w:ascii="Calibri" w:cs="Calibri" w:hAnsi="Calibri"/>
                <w:b w:val="1"/>
                <w:sz w:val="22"/>
              </w:rPr>
              <w:t xml:space="preserve">6. Roles y responsabilidades</w:t>
              <w:tab/>
              <w:t>6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8">
            <w:r>
              <w:rPr>
                <w:rFonts w:ascii="Calibri" w:cs="Calibri" w:hAnsi="Calibri"/>
                <w:b w:val="1"/>
                <w:sz w:val="22"/>
              </w:rPr>
              <w:t xml:space="preserve">7. Registro de conflictos</w:t>
              <w:tab/>
              <w:t>6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9">
            <w:r>
              <w:rPr>
                <w:rFonts w:ascii="Calibri" w:cs="Calibri" w:hAnsi="Calibri"/>
                <w:b w:val="1"/>
                <w:sz w:val="22"/>
              </w:rPr>
              <w:t xml:space="preserve">8. Lecciones aprendidas</w:t>
              <w:tab/>
              <w:t>7</w:t>
            </w:r>
          </w:hyperlink>
          <w:r>
            <w:fldChar w:fldCharType="end"/>
          </w:r>
        </w:p>
      </w:sdtContent>
    </w:sdt>
    <w:p w:rsidR="00000000" w:rsidDel="00000000" w:rsidP="00000000" w:rsidRDefault="00000000" w:rsidRPr="00000000" w14:paraId="00000020">
      <w:pPr>
        <w:spacing w:line="276" w:lineRule="auto"/>
        <w:jc w:val="both"/>
        <w:rPr>
          <w:b w:val="1"/>
          <w:bCs w:val="1"/>
          <w:color w:val="3660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30/10/2026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Equipo Acredittia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Creación del documento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bookmarkStart w:id="101" w:name="_Toc_acr_101"/>
      <w:bookmarkEnd w:id="101"/>
      <w:r>
        <w:rPr/>
        <w:t xml:space="preserve">Propósito</w:t>
      </w:r>
    </w:p>
    <w:p>
      <w:pPr>
        <w:spacing w:before="120" w:after="120" w:line="276" w:lineRule="auto"/>
        <w:jc w:val="both"/>
      </w:pPr>
      <w:r>
        <w:rPr/>
        <w:t xml:space="preserve">Este documento define cómo el equipo de Acredittia identifica, registra y resuelve los conflictos que aparecen durante el proyecto, ya sean técnicos, de alcance, de plazos o de coordinación entre sus integrantes. También deja registro de los conflictos que el equipo enfrentó hasta la fecha y de cómo los resolvió, según consta en las actas de reunión, el Informe de Avance de la Fase 2, la Guía 2.4 y los diarios de reflexión.</w:t>
      </w:r>
    </w:p>
    <w:p>
      <w:pPr>
        <w:pStyle w:val="Heading1"/>
        <w:numPr>
          <w:ilvl w:val="0"/>
          <w:numId w:val="2"/>
        </w:numPr>
      </w:pPr>
      <w:bookmarkStart w:id="102" w:name="_Toc_acr_102"/>
      <w:bookmarkEnd w:id="102"/>
      <w:r>
        <w:rPr/>
        <w:t xml:space="preserve">Alcance</w:t>
      </w:r>
    </w:p>
    <w:p>
      <w:pPr>
        <w:spacing w:before="120" w:after="120" w:line="276" w:lineRule="auto"/>
        <w:jc w:val="both"/>
      </w:pPr>
      <w:r>
        <w:rPr/>
        <w:t xml:space="preserve">Aplica a los tres integrantes del equipo (Eduardo Agüero, David Gana y Diego Santiagos) durante todas las fases del proyecto APT, y a las diferencias con actores externos que afecten al proyecto: la empresa Alloxentric (entrega del Resource Pack y especificación) y el docente guía.</w:t>
      </w:r>
    </w:p>
    <w:p>
      <w:pPr>
        <w:pStyle w:val="Heading1"/>
        <w:numPr>
          <w:ilvl w:val="0"/>
          <w:numId w:val="2"/>
        </w:numPr>
      </w:pPr>
      <w:bookmarkStart w:id="103" w:name="_Toc_acr_103"/>
      <w:bookmarkEnd w:id="103"/>
      <w:r>
        <w:rPr/>
        <w:t xml:space="preserve">Tipos de conflicto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1600"/>
        <w:gridCol w:w="3700"/>
        <w:gridCol w:w="3400"/>
      </w:tblGrid>
      <w:tr>
        <w:trPr>
          <w:cantSplit/>
          <w:tblHeader/>
        </w:trPr>
        <w:tc>
          <w:tcPr>
            <w:tcW w:w="16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Tipo</w:t>
            </w:r>
          </w:p>
        </w:tc>
        <w:tc>
          <w:tcPr>
            <w:tcW w:w="37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Descripción</w:t>
            </w:r>
          </w:p>
        </w:tc>
        <w:tc>
          <w:tcPr>
            <w:tcW w:w="34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Ejemplo en el proyecto</w:t>
            </w:r>
          </w:p>
        </w:tc>
      </w:tr>
      <w:tr>
        <w:trPr>
          <w:cantSplit/>
        </w:trPr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Técnico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Desacuerdo o problema sobre arquitectura, tecnologías o forma de implementar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Serverless o contenedores para los procesos asíncronos</w:t>
            </w:r>
          </w:p>
        </w:tc>
      </w:tr>
      <w:tr>
        <w:trPr>
          <w:cantSplit/>
        </w:trPr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Alcance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Diferencia entre lo especificado y lo que se puede construir en el plazo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154 endpoints especificados frente a 46 implementados al inicio</w:t>
            </w:r>
          </w:p>
        </w:tc>
      </w:tr>
      <w:tr>
        <w:trPr>
          <w:cantSplit/>
        </w:trPr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Plazos y carga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Tareas que se atrasan o compiten con otras obligaciones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Práctica profesional en paralelo al Capstone</w:t>
            </w:r>
          </w:p>
        </w:tc>
      </w:tr>
      <w:tr>
        <w:trPr>
          <w:cantSplit/>
        </w:trPr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Coordinación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Distribución de tareas, comunicación o integración del trabajo de cada uno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Unificar criterios entre documentos y entregas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pStyle w:val="Heading1"/>
        <w:numPr>
          <w:ilvl w:val="0"/>
          <w:numId w:val="2"/>
        </w:numPr>
      </w:pPr>
      <w:bookmarkStart w:id="104" w:name="_Toc_acr_104"/>
      <w:bookmarkEnd w:id="104"/>
      <w:r>
        <w:rPr/>
        <w:t xml:space="preserve">Procedimiento de resolución</w:t>
      </w:r>
    </w:p>
    <w:p>
      <w:pPr>
        <w:spacing w:before="120" w:after="120" w:line="276" w:lineRule="auto"/>
        <w:jc w:val="both"/>
      </w:pPr>
      <w:r>
        <w:rPr/>
        <w:t xml:space="preserve">Los conflictos se resuelven en el nivel más bajo posible y se escalan solo si no hay acuerdo: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700"/>
        <w:gridCol w:w="3300"/>
        <w:gridCol w:w="2400"/>
        <w:gridCol w:w="2300"/>
      </w:tblGrid>
      <w:tr>
        <w:trPr>
          <w:cantSplit/>
          <w:tblHeader/>
        </w:trPr>
        <w:tc>
          <w:tcPr>
            <w:tcW w:w="7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Nivel</w:t>
            </w:r>
          </w:p>
        </w:tc>
        <w:tc>
          <w:tcPr>
            <w:tcW w:w="33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Instancia</w:t>
            </w:r>
          </w:p>
        </w:tc>
        <w:tc>
          <w:tcPr>
            <w:tcW w:w="24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Quién participa</w:t>
            </w:r>
          </w:p>
        </w:tc>
        <w:tc>
          <w:tcPr>
            <w:tcW w:w="23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Cuándo se escala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Conversación directa entre los involucrados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Integrantes afectados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Si no hay acuerdo en 48 horas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Reunión de equipo (daily, seguimiento o retrospectiva)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Equipo completo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Si la decisión afecta alcance, plazos o calidad y sigue sin consenso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Decisión del Jefe de Proyecto, con los criterios de la sección 6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Jefe de Proyecto (Eduardo Agüero)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Si afecta los requisitos de la asignatura o la relación con la empresa</w:t>
            </w:r>
          </w:p>
        </w:tc>
      </w:tr>
      <w:tr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Consulta al docente guía o a la contraparte de Alloxentric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Equipo y docente o empresa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pStyle w:val="Heading2"/>
        <w:numPr>
          <w:ilvl w:val="1"/>
          <w:numId w:val="2"/>
        </w:numPr>
      </w:pPr>
      <w:bookmarkStart w:id="105" w:name="_Toc_acr_105"/>
      <w:bookmarkEnd w:id="105"/>
      <w:r>
        <w:rPr/>
        <w:t xml:space="preserve">Pasos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Identificar el conflicto y quiénes están involucrados.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Registrarlo en el tablero de Jira o en el acta de la siguiente reunión, con su tipo e impacto.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Reunir antecedentes: datos, pruebas de concepto, documentación técnica o el requisito afectado.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Evaluar alternativas con los criterios de decisión y acordar una solución.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Dejar la decisión, el responsable y la fecha en el acta (sección de compromisos acordados).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Hacer seguimiento en la siguiente reunión y cerrar el conflicto cuando el compromiso esté cumplido.</w:t>
      </w:r>
    </w:p>
    <w:p>
      <w:pPr>
        <w:pStyle w:val="Heading1"/>
        <w:numPr>
          <w:ilvl w:val="0"/>
          <w:numId w:val="2"/>
        </w:numPr>
      </w:pPr>
      <w:bookmarkStart w:id="106" w:name="_Toc_acr_106"/>
      <w:bookmarkEnd w:id="106"/>
      <w:r>
        <w:rPr/>
        <w:t xml:space="preserve">Criterios de decisión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Evidencia técnica antes que opinión: </w:t>
      </w:r>
      <w:r>
        <w:rPr/>
        <w:t xml:space="preserve">cuando hay dudas sobre una tecnología, se prueba (prueba de concepto o despliegue de prueba) antes de decidir.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Priorización MoSCoW: </w:t>
      </w:r>
      <w:r>
        <w:rPr/>
        <w:t xml:space="preserve">ante conflictos de alcance se protege primero lo Must (motor de acreditación) y se posterga lo Could o Won't.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Seguridad no negociable: </w:t>
      </w:r>
      <w:r>
        <w:rPr/>
        <w:t xml:space="preserve">ninguna solución puede debilitar el aislamiento entre empresas (RLS) ni la protección de credenciales (JWE).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Equidad en la carga: </w:t>
      </w:r>
      <w:r>
        <w:rPr/>
        <w:t xml:space="preserve">las tareas se redistribuyen según la disponibilidad real de cada integrante, visible en Jira.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Consenso o mayoría: </w:t>
      </w:r>
      <w:r>
        <w:rPr/>
        <w:t xml:space="preserve">se busca consenso; si no lo hay, decide la mayoría del equipo y, si persiste el empate, el Jefe de Proyecto.</w:t>
      </w:r>
    </w:p>
    <w:p>
      <w:pPr>
        <w:pStyle w:val="Heading1"/>
        <w:numPr>
          <w:ilvl w:val="0"/>
          <w:numId w:val="2"/>
        </w:numPr>
      </w:pPr>
      <w:bookmarkStart w:id="107" w:name="_Toc_acr_107"/>
      <w:bookmarkEnd w:id="107"/>
      <w:r>
        <w:rPr/>
        <w:t xml:space="preserve">Roles y responsabilidades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2700"/>
        <w:gridCol w:w="1900"/>
        <w:gridCol w:w="4100"/>
      </w:tblGrid>
      <w:tr>
        <w:trPr>
          <w:cantSplit/>
          <w:tblHeader/>
        </w:trPr>
        <w:tc>
          <w:tcPr>
            <w:tcW w:w="27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Rol</w:t>
            </w:r>
          </w:p>
        </w:tc>
        <w:tc>
          <w:tcPr>
            <w:tcW w:w="19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Integrante</w:t>
            </w:r>
          </w:p>
        </w:tc>
        <w:tc>
          <w:tcPr>
            <w:tcW w:w="41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Jefe de Proyecto / Backend 1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Eduardo Agüero</w:t>
            </w:r>
          </w:p>
        </w:tc>
        <w:tc>
          <w:tcPr>
            <w:tcW w:w="4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Modera las reuniones, decide en el nivel 3 y mantiene el registro en las actas</w:t>
            </w:r>
          </w:p>
        </w:tc>
      </w:tr>
      <w:tr>
        <w:trPr>
          <w:cantSplit/>
        </w:trP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Arquitecto de Software / Backend 2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David Gana</w:t>
            </w:r>
          </w:p>
        </w:tc>
        <w:tc>
          <w:tcPr>
            <w:tcW w:w="4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Aporta la evidencia técnica en conflictos de arquitectura y modelo de datos</w:t>
            </w:r>
          </w:p>
        </w:tc>
      </w:tr>
      <w:tr>
        <w:trPr>
          <w:cantSplit/>
        </w:trP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Desarrollador / Backend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Diego Santiagos</w:t>
            </w:r>
          </w:p>
        </w:tc>
        <w:tc>
          <w:tcPr>
            <w:tcW w:w="4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Aporta la evidencia técnica en conflictos de API, interfaz y pruebas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spacing w:before="120" w:after="120" w:line="276" w:lineRule="auto"/>
        <w:jc w:val="both"/>
      </w:pPr>
      <w:r>
        <w:rPr>
          <w:i w:val="1"/>
          <w:iCs w:val="1"/>
          <w:sz w:val="18"/>
          <w:szCs w:val="18"/>
        </w:rPr>
        <w:t xml:space="preserve">Fuente de los roles: </w:t>
      </w:r>
      <w:r>
        <w:rPr>
          <w:i w:val="1"/>
          <w:iCs w:val="1"/>
          <w:sz w:val="18"/>
          <w:szCs w:val="18"/>
        </w:rPr>
        <w:t xml:space="preserve">Acta N.°01 (10/09/2026).</w:t>
      </w:r>
    </w:p>
    <w:p>
      <w:pPr>
        <w:pStyle w:val="Heading1"/>
        <w:numPr>
          <w:ilvl w:val="0"/>
          <w:numId w:val="2"/>
        </w:numPr>
      </w:pPr>
      <w:bookmarkStart w:id="108" w:name="_Toc_acr_108"/>
      <w:bookmarkEnd w:id="108"/>
      <w:r>
        <w:rPr/>
        <w:t xml:space="preserve">Registro de conflictos</w:t>
      </w:r>
    </w:p>
    <w:p>
      <w:pPr>
        <w:spacing w:before="120" w:after="120" w:line="276" w:lineRule="auto"/>
        <w:jc w:val="both"/>
      </w:pPr>
      <w:r>
        <w:rPr/>
        <w:t xml:space="preserve">Conflictos enfrentados entre el 10 de septiembre y el 28 de octubre de 2026, con la fuente donde quedaron documentados: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650"/>
        <w:gridCol w:w="1000"/>
        <w:gridCol w:w="2100"/>
        <w:gridCol w:w="2350"/>
        <w:gridCol w:w="1000"/>
        <w:gridCol w:w="1600"/>
      </w:tblGrid>
      <w:tr>
        <w:trPr>
          <w:cantSplit/>
          <w:tblHeader/>
        </w:trPr>
        <w:tc>
          <w:tcPr>
            <w:tcW w:w="65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7"/>
                <w:szCs w:val="17"/>
              </w:rPr>
              <w:t xml:space="preserve">ID</w:t>
            </w:r>
          </w:p>
        </w:tc>
        <w:tc>
          <w:tcPr>
            <w:tcW w:w="10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7"/>
                <w:szCs w:val="17"/>
              </w:rPr>
              <w:t xml:space="preserve">Tipo</w:t>
            </w:r>
          </w:p>
        </w:tc>
        <w:tc>
          <w:tcPr>
            <w:tcW w:w="21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7"/>
                <w:szCs w:val="17"/>
              </w:rPr>
              <w:t xml:space="preserve">Conflicto</w:t>
            </w:r>
          </w:p>
        </w:tc>
        <w:tc>
          <w:tcPr>
            <w:tcW w:w="235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7"/>
                <w:szCs w:val="17"/>
              </w:rPr>
              <w:t xml:space="preserve">Resolución</w:t>
            </w:r>
          </w:p>
        </w:tc>
        <w:tc>
          <w:tcPr>
            <w:tcW w:w="10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7"/>
                <w:szCs w:val="17"/>
              </w:rPr>
              <w:t xml:space="preserve">Estado</w:t>
            </w:r>
          </w:p>
        </w:tc>
        <w:tc>
          <w:tcPr>
            <w:tcW w:w="16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</w:trPr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C-01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Técnico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Los procesos asíncronos (Celery/Redis) y los workers de IA no podían correr en un entorno serverless</w:t>
            </w:r>
          </w:p>
        </w:tc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Se cambió a una arquitectura de contenedores Docker (Azure Container Apps) para el backend y sus workers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Resuelto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Informe de Avance Fase 2 (conclusiones de D. Santiagos y D. Gana)</w:t>
            </w:r>
          </w:p>
        </w:tc>
      </w:tr>
      <w:tr>
        <w:trPr>
          <w:cantSplit/>
        </w:trPr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C-02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Alcance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El alcance inicial incluía desarrollar en paralelo varios conectores hacia plataformas de mandantes, además de la IA y la seguridad multi-tenant</w:t>
            </w:r>
          </w:p>
        </w:tc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Se priorizó con MoSCoW el motor de acreditación; las integraciones externas quedaron para incrementos posteriores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Resuelto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Informe de Avance Fase 2 (dificultades y reflexión de E. Agüero)</w:t>
            </w:r>
          </w:p>
        </w:tc>
      </w:tr>
      <w:tr>
        <w:trPr>
          <w:cantSplit/>
        </w:trPr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C-03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Alcance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La especificación v1.1 sumaba 154 endpoints frente a 46 implementados en el repositorio base</w:t>
            </w:r>
          </w:p>
        </w:tc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Se planificó desarrollar los módulos faltantes por etapas y se definió la migración 06_migracion_v11.sql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Resuelto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Acta N.°04 (12/10/2026)</w:t>
            </w:r>
          </w:p>
        </w:tc>
      </w:tr>
      <w:tr>
        <w:trPr>
          <w:cantSplit/>
        </w:trPr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C-04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Plazos y carga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La práctica profesional de los integrantes reducía el tiempo disponible para el Capstone</w:t>
            </w:r>
          </w:p>
        </w:tc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Cada integrante separó días o bloques fijos para el Capstone y el equipo siguió atrasos y avances en Jira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En seguimiento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Diarios de reflexión 2.1 (D. Gana, D. Santiagos, E. Agüero)</w:t>
            </w:r>
          </w:p>
        </w:tc>
      </w:tr>
      <w:tr>
        <w:trPr>
          <w:cantSplit/>
        </w:trPr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C-05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Plazos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Retraso en la formalización de las actas y en el Diagrama Entidad-Relación por el tiempo dedicado a estabilizar Azure</w:t>
            </w:r>
          </w:p>
        </w:tc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Se obtuvo el DER por ingeniería inversa desde PostgreSQL en Azure y se unificaron las actas en una bitácora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Resuelto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Acta N.°05</w:t>
            </w:r>
          </w:p>
        </w:tc>
      </w:tr>
      <w:tr>
        <w:trPr>
          <w:cantSplit/>
        </w:trPr>
        <w:tc>
          <w:tcPr>
            <w:tcW w:w="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C-06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Técnico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La vista de Matriz de Cumplimiento resultaba demasiado compleja para el usuario</w:t>
            </w:r>
          </w:p>
        </w:tc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Se simplificó la vista en el diseño de interfaces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Resuelto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7"/>
                <w:szCs w:val="17"/>
              </w:rPr>
              <w:t xml:space="preserve">Guía 2.4, monitoreo del plan de trabajo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pStyle w:val="Heading1"/>
        <w:numPr>
          <w:ilvl w:val="0"/>
          <w:numId w:val="2"/>
        </w:numPr>
      </w:pPr>
      <w:bookmarkStart w:id="109" w:name="_Toc_acr_109"/>
      <w:bookmarkEnd w:id="109"/>
      <w:r>
        <w:rPr/>
        <w:t xml:space="preserve">Lecciones aprendidas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Validar temprano la infraestructura evita conflictos técnicos tardíos: el cambio a contenedores costó menos porque se detectó en la etapa de diseño.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Priorizar con MoSCoW convierte un conflicto de alcance en una decisión explícita y documentada.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Registrar los compromisos con responsable y fecha en cada acta permite saber si un conflicto realmente se cerró.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Hacer visible la carga de cada integrante en Jira facilita redistribuir tareas sin roces.</w:t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417" w:left="1701" w:right="104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Informática y Telecomunicaciones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pPr>
    <w:r w:rsidDel="00000000" w:rsidR="00000000" w:rsidRPr="00000000">
      <w:rPr>
        <w:rtl w:val="0"/>
      </w:rPr>
      <w:tab/>
      <w:t xml:space="preserve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  <w:rtl w:val="0"/>
      </w:rPr>
      <w:t xml:space="preserve">Resolución de Conflictos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-706893</wp:posOffset>
          </wp:positionH>
          <wp:positionV relativeFrom="paragraph">
            <wp:posOffset>-187638</wp:posOffset>
          </wp:positionV>
          <wp:extent cx="1773697" cy="434375"/>
          <wp:effectExtent b="0" l="0" r="0" t="0"/>
          <wp:wrapSquare wrapText="bothSides" distB="0" distT="0" distL="114300" distR="11430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3697" cy="43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spacing w:line="240" w:lineRule="auto"/>
      <w:jc w:val="both"/>
      <w:rPr/>
    </w:pPr>
    <w:r w:rsidDel="00000000" w:rsidR="00000000" w:rsidRPr="00000000">
      <w:rPr/>
      <w:drawing>
        <wp:inline distB="0" distT="0" distL="0" distR="0">
          <wp:extent cx="2528079" cy="593408"/>
          <wp:effectExtent b="0" l="0" r="0" t="0"/>
          <wp:docPr descr="http://www.duoc.cl/sites/default/files/logo_summit_0.png" id="14" name="image2.png"/>
          <a:graphic>
            <a:graphicData uri="http://schemas.openxmlformats.org/drawingml/2006/picture">
              <pic:pic>
                <pic:nvPicPr>
                  <pic:cNvPr descr="http://www.duoc.cl/sites/default/files/logo_summit_0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8079" cy="59340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color w:val="1f497d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360"/>
      <w:jc w:val="both"/>
    </w:pPr>
    <w:rPr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76" w:lineRule="auto"/>
      <w:ind w:left="792" w:hanging="432"/>
      <w:jc w:val="both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link w:val="PrrafodelistaCar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VGS1" w:customStyle="1">
    <w:name w:val="VGS1"/>
    <w:basedOn w:val="Prrafodelista"/>
    <w:link w:val="VGS1Car"/>
    <w:qFormat w:val="1"/>
    <w:rsid w:val="00A92FF1"/>
    <w:pPr>
      <w:numPr>
        <w:numId w:val="11"/>
      </w:numPr>
    </w:pPr>
    <w:rPr>
      <w:color w:val="1f497d" w:themeColor="text2"/>
      <w:sz w:val="28"/>
    </w:rPr>
  </w:style>
  <w:style w:type="paragraph" w:styleId="VGS2" w:customStyle="1">
    <w:name w:val="VGS2"/>
    <w:basedOn w:val="Prrafodelista"/>
    <w:link w:val="VGS2Car"/>
    <w:qFormat w:val="1"/>
    <w:rsid w:val="00A92FF1"/>
    <w:pPr>
      <w:numPr>
        <w:ilvl w:val="1"/>
        <w:numId w:val="11"/>
      </w:numPr>
    </w:pPr>
    <w:rPr>
      <w:sz w:val="24"/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A92FF1"/>
  </w:style>
  <w:style w:type="character" w:styleId="VGS1Car" w:customStyle="1">
    <w:name w:val="VGS1 Car"/>
    <w:basedOn w:val="PrrafodelistaCar"/>
    <w:link w:val="VGS1"/>
    <w:rsid w:val="00A92FF1"/>
    <w:rPr>
      <w:color w:val="1f497d" w:themeColor="text2"/>
      <w:sz w:val="28"/>
    </w:rPr>
  </w:style>
  <w:style w:type="character" w:styleId="VGS2Car" w:customStyle="1">
    <w:name w:val="VGS2 Car"/>
    <w:basedOn w:val="PrrafodelistaCar"/>
    <w:link w:val="VGS2"/>
    <w:rsid w:val="00A92FF1"/>
    <w:rPr>
      <w:sz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vV62Fav3cW6IuKDpqf95rmc6A==">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2019-10-26T00:25:00Z</dcterms:created>
  <dc:creator>BQuevedo</dc:creator>
</cp:coreProperties>
</file>