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Pr>
                <w:rtl w:val="0"/>
              </w:rPr>
            </w:r>
          </w:p>
        </w:tc>
      </w:tr>
    </w:tbl>
    <w:p w:rsidR="00000000" w:rsidDel="00000000" w:rsidP="00000000" w:rsidRDefault="00000000" w:rsidRPr="00000000" w14:paraId="0000000D">
      <w:pPr>
        <w:rPr>
          <w:b w:val="1"/>
          <w:bCs w:val="1"/>
        </w:rPr>
      </w:pPr>
      <w:r>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Pr>
                <w:i w:val="1"/>
                <w:iCs w:val="1"/>
                <w:color w:val="548dd4"/>
                <w:sz w:val="20"/>
                <w:szCs w:val="20"/>
                <w:rtl w:val="0"/>
              </w:rPr>
              <w:t xml:space="preserve">Acredittia</w:t>
            </w:r>
            <w:r>
              <w:rPr>
                <w:rFonts w:ascii="Calibri" w:cs="Calibri" w:eastAsia="Calibri" w:hAnsi="Calibri"/>
                <w:i w:val="1"/>
                <w:iCs w:val="1"/>
                <w:color w:val="548dd4"/>
                <w:sz w:val="20"/>
                <w:szCs w:val="20"/>
                <w:rtl w:val="0"/>
              </w:rPr>
              <w:t xml:space="preserve">.</w:t>
            </w:r>
            <w:r>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Pr>
                <w:i w:val="1"/>
                <w:iCs w:val="1"/>
                <w:color w:val="548dd4"/>
                <w:sz w:val="20"/>
                <w:szCs w:val="20"/>
                <w:rtl w:val="0"/>
              </w:rPr>
              <w:t xml:space="preserve">Desarrollo de Software, Gestión de Bases de Datos, Arquitectura Cloud y Seguridad de la Información.</w:t>
            </w:r>
            <w:r>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Pr>
                <w:rtl w:val="0"/>
              </w:rPr>
            </w:r>
          </w:p>
        </w:tc>
        <w:tc>
          <w:tcPr>
            <w:vAlign w:val="center"/>
          </w:tcPr>
          <w:p w:rsidR="00000000" w:rsidDel="00000000" w:rsidP="00000000" w:rsidRDefault="00000000" w:rsidRPr="00000000" w14:paraId="00000014">
            <w:pPr>
              <w:numPr>
                <w:ilvl w:val="0"/>
                <w:numId w:val="6"/>
              </w:numPr>
              <w:spacing w:after="0" w:afterAutospacing="0" w:line="276" w:lineRule="auto"/>
              <w:ind w:left="720" w:hanging="360"/>
              <w:jc w:val="both"/>
              <w:rPr>
                <w:i w:val="1"/>
                <w:iCs w:val="1"/>
                <w:color w:val="548dd4"/>
                <w:sz w:val="20"/>
                <w:szCs w:val="20"/>
                <w:u w:val="none"/>
              </w:rPr>
            </w:pPr>
            <w:r>
              <w:rPr>
                <w:i w:val="1"/>
                <w:iCs w:val="1"/>
                <w:color w:val="548dd4"/>
                <w:sz w:val="20"/>
                <w:szCs w:val="20"/>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15">
            <w:pPr>
              <w:numPr>
                <w:ilvl w:val="0"/>
                <w:numId w:val="7"/>
              </w:numPr>
              <w:spacing w:after="0" w:afterAutospacing="0" w:line="276" w:lineRule="auto"/>
              <w:ind w:left="720" w:hanging="360"/>
              <w:jc w:val="both"/>
              <w:rPr>
                <w:i w:val="1"/>
                <w:iCs w:val="1"/>
                <w:color w:val="548dd4"/>
                <w:sz w:val="20"/>
                <w:szCs w:val="20"/>
                <w:u w:val="none"/>
              </w:rPr>
            </w:pPr>
            <w:r>
              <w:rPr>
                <w:i w:val="1"/>
                <w:iCs w:val="1"/>
                <w:color w:val="548dd4"/>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16">
            <w:pPr>
              <w:numPr>
                <w:ilvl w:val="0"/>
                <w:numId w:val="2"/>
              </w:numPr>
              <w:spacing w:after="0" w:afterAutospacing="0" w:line="276" w:lineRule="auto"/>
              <w:ind w:left="720" w:hanging="360"/>
              <w:jc w:val="both"/>
              <w:rPr>
                <w:i w:val="1"/>
                <w:iCs w:val="1"/>
                <w:color w:val="548dd4"/>
                <w:sz w:val="20"/>
                <w:szCs w:val="20"/>
                <w:u w:val="none"/>
              </w:rPr>
            </w:pPr>
            <w:r>
              <w:rPr>
                <w:i w:val="1"/>
                <w:iCs w:val="1"/>
                <w:color w:val="548dd4"/>
                <w:sz w:val="20"/>
                <w:szCs w:val="20"/>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17">
            <w:pPr>
              <w:numPr>
                <w:ilvl w:val="0"/>
                <w:numId w:val="2"/>
              </w:numPr>
              <w:spacing w:after="0" w:afterAutospacing="0" w:line="276" w:lineRule="auto"/>
              <w:ind w:left="720" w:hanging="360"/>
              <w:jc w:val="both"/>
              <w:rPr>
                <w:i w:val="1"/>
                <w:iCs w:val="1"/>
                <w:color w:val="548dd4"/>
                <w:sz w:val="20"/>
                <w:szCs w:val="20"/>
                <w:u w:val="none"/>
              </w:rPr>
            </w:pPr>
            <w:r>
              <w:rPr>
                <w:i w:val="1"/>
                <w:iCs w:val="1"/>
                <w:color w:val="548dd4"/>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18">
            <w:pPr>
              <w:numPr>
                <w:ilvl w:val="0"/>
                <w:numId w:val="1"/>
              </w:numPr>
              <w:spacing w:line="276" w:lineRule="auto"/>
              <w:ind w:left="720" w:hanging="360"/>
              <w:jc w:val="both"/>
              <w:rPr>
                <w:i w:val="1"/>
                <w:iCs w:val="1"/>
                <w:color w:val="548dd4"/>
                <w:sz w:val="20"/>
                <w:szCs w:val="20"/>
                <w:u w:val="none"/>
              </w:rPr>
            </w:pPr>
            <w:r>
              <w:rPr>
                <w:i w:val="1"/>
                <w:iCs w:val="1"/>
                <w:color w:val="548dd4"/>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19">
      <w:pPr>
        <w:rPr>
          <w:b w:val="1"/>
          <w:bCs w:val="1"/>
        </w:rPr>
      </w:pPr>
      <w:r>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Pr>
                <w:rFonts w:ascii="Calibri" w:cs="Calibri" w:eastAsia="Calibri" w:hAnsi="Calibri"/>
                <w:b w:val="1"/>
                <w:bCs w:val="1"/>
                <w:color w:val="1f3864"/>
                <w:sz w:val="18"/>
                <w:szCs w:val="18"/>
                <w:rtl w:val="0"/>
              </w:rPr>
              <w:t xml:space="preserve">Contenidos del informe final</w:t>
            </w:r>
            <w:r>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color w:val="0070c0"/>
                <w:sz w:val="18"/>
                <w:szCs w:val="18"/>
                <w:rtl w:val="0"/>
              </w:rPr>
              <w:t xml:space="preserve">La acreditación de personal y equipos (contratistas) en la industria minera y energética chilena es un proceso crítico. Actualmente, depende de validaciones manuales de documentos legales, médicos y técnicos, lo que genera cuellos de botella operativos, propensión a errores humanos y riesgos de multas millonarias por incumplimiento normativo.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color w:val="0070c0"/>
                <w:sz w:val="18"/>
                <w:szCs w:val="18"/>
                <w:rtl w:val="0"/>
              </w:rPr>
              <w:t xml:space="preserve">Principalmente en el norte y centro de Chile, las que son las principales ubicaciones de las mineras.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color w:val="0070c0"/>
                <w:sz w:val="18"/>
                <w:szCs w:val="18"/>
                <w:rtl w:val="0"/>
              </w:rPr>
              <w:t xml:space="preserve">El problema impacta directamente tanto a las empresas mandantes que exigen el cumplimiento, como a las empresas contratistas que pierden horas-hombre intentando habilitar a sus trabajadores.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Pr>
                <w:color w:val="0070c0"/>
                <w:sz w:val="18"/>
                <w:szCs w:val="18"/>
                <w:rtl w:val="0"/>
              </w:rPr>
              <w:t xml:space="preserve">El proyecto aporta valor al mercado mediante una plataforma SaaS multi-tenant que automatiza el ciclo de revisión documental. A través del uso de un backend robusto con procesamiento asíncrono (IA para validación OCR/LLM) y un modelo de datos con seguridad a nivel de fila (RLS), Acredittia reduce los tiempos de acreditación de días a minutos, garantizando un aislamiento estricto de la información confidencial de cada empresa.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tl w:val="0"/>
              </w:rPr>
            </w:r>
          </w:p>
        </w:tc>
      </w:tr>
      <w:tr>
        <w:trPr>
          <w:cantSplit w:val="0"/>
          <w:trHeight w:val="838"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Pr>
                <w:i w:val="1"/>
                <w:iCs w:val="1"/>
                <w:color w:val="0070c0"/>
                <w:sz w:val="18"/>
                <w:szCs w:val="18"/>
                <w:rtl w:val="0"/>
              </w:rPr>
              <w:t xml:space="preserve">Diseñar, implementar y desplegar una arquitectura backend escalable, segura y asíncrona que automatice la gestión y validación documental para operaciones críticas del sector minero e industrial.</w:t>
            </w:r>
          </w:p>
          <w:p w:rsidR="00000000" w:rsidDel="00000000" w:rsidP="00000000" w:rsidRDefault="00000000" w:rsidRPr="00000000" w14:paraId="00000031">
            <w:pPr>
              <w:spacing w:after="240" w:before="240" w:lineRule="auto"/>
              <w:jc w:val="both"/>
              <w:rPr>
                <w:b w:val="1"/>
                <w:bCs w:val="1"/>
                <w:i w:val="1"/>
                <w:iCs w:val="1"/>
                <w:color w:val="0070c0"/>
                <w:sz w:val="18"/>
                <w:szCs w:val="18"/>
              </w:rPr>
            </w:pPr>
            <w:r>
              <w:rPr>
                <w:b w:val="1"/>
                <w:bCs w:val="1"/>
                <w:i w:val="1"/>
                <w:iCs w:val="1"/>
                <w:color w:val="0070c0"/>
                <w:sz w:val="18"/>
                <w:szCs w:val="18"/>
                <w:rtl w:val="0"/>
              </w:rPr>
              <w:t xml:space="preserve">Objetivos Específicos:</w:t>
            </w:r>
          </w:p>
          <w:p w:rsidR="00000000" w:rsidDel="00000000" w:rsidP="00000000" w:rsidRDefault="00000000" w:rsidRPr="00000000" w14:paraId="00000032">
            <w:pPr>
              <w:numPr>
                <w:ilvl w:val="0"/>
                <w:numId w:val="8"/>
              </w:numPr>
              <w:spacing w:after="0" w:afterAutospacing="0" w:before="240" w:lineRule="auto"/>
              <w:ind w:left="720" w:hanging="360"/>
              <w:rPr>
                <w:i w:val="1"/>
                <w:iCs w:val="1"/>
                <w:color w:val="0070c0"/>
                <w:sz w:val="18"/>
                <w:szCs w:val="18"/>
              </w:rPr>
            </w:pPr>
            <w:r>
              <w:rPr>
                <w:i w:val="1"/>
                <w:iCs w:val="1"/>
                <w:color w:val="0070c0"/>
                <w:sz w:val="18"/>
                <w:szCs w:val="18"/>
                <w:rtl w:val="0"/>
              </w:rPr>
              <w:t xml:space="preserve">Modelar e implementar el esquema relacional en PostgreSQL incorporando Row-Level Security (RLS) para garantizar el aislamiento estricto de datos entre múltiples clientes (multi-tenant).</w:t>
            </w:r>
          </w:p>
          <w:p w:rsidR="00000000" w:rsidDel="00000000" w:rsidP="00000000" w:rsidRDefault="00000000" w:rsidRPr="00000000" w14:paraId="00000033">
            <w:pPr>
              <w:numPr>
                <w:ilvl w:val="0"/>
                <w:numId w:val="8"/>
              </w:numPr>
              <w:spacing w:after="0" w:afterAutospacing="0" w:before="0" w:beforeAutospacing="0" w:lineRule="auto"/>
              <w:ind w:left="720" w:hanging="360"/>
              <w:rPr>
                <w:i w:val="1"/>
                <w:iCs w:val="1"/>
                <w:color w:val="0070c0"/>
                <w:sz w:val="18"/>
                <w:szCs w:val="18"/>
              </w:rPr>
            </w:pPr>
            <w:r>
              <w:rPr>
                <w:i w:val="1"/>
                <w:iCs w:val="1"/>
                <w:color w:val="0070c0"/>
                <w:sz w:val="18"/>
                <w:szCs w:val="18"/>
                <w:rtl w:val="0"/>
              </w:rPr>
              <w:t xml:space="preserve">Construir y documentar una API RESTful eficiente utilizando FastAPI, estableciendo contratos de comunicación estandarizados y seguros (JWE).</w:t>
            </w:r>
          </w:p>
          <w:p w:rsidR="00000000" w:rsidDel="00000000" w:rsidP="00000000" w:rsidRDefault="00000000" w:rsidRPr="00000000" w14:paraId="00000034">
            <w:pPr>
              <w:numPr>
                <w:ilvl w:val="0"/>
                <w:numId w:val="8"/>
              </w:numPr>
              <w:spacing w:after="0" w:afterAutospacing="0" w:before="0" w:beforeAutospacing="0" w:lineRule="auto"/>
              <w:ind w:left="720" w:hanging="360"/>
              <w:rPr>
                <w:i w:val="1"/>
                <w:iCs w:val="1"/>
                <w:color w:val="0070c0"/>
                <w:sz w:val="18"/>
                <w:szCs w:val="18"/>
              </w:rPr>
            </w:pPr>
            <w:r>
              <w:rPr>
                <w:i w:val="1"/>
                <w:iCs w:val="1"/>
                <w:color w:val="0070c0"/>
                <w:sz w:val="18"/>
                <w:szCs w:val="18"/>
                <w:rtl w:val="0"/>
              </w:rPr>
              <w:t xml:space="preserve">Integrar un motor de orquestación asíncrona (Celery y Redis) para gestionar procesos críticos en segundo plano, como la validación documental automatizada con IA.</w:t>
            </w:r>
          </w:p>
          <w:p w:rsidR="00000000" w:rsidDel="00000000" w:rsidP="00000000" w:rsidRDefault="00000000" w:rsidRPr="00000000" w14:paraId="00000035">
            <w:pPr>
              <w:numPr>
                <w:ilvl w:val="0"/>
                <w:numId w:val="8"/>
              </w:numPr>
              <w:spacing w:after="240" w:before="0" w:beforeAutospacing="0" w:lineRule="auto"/>
              <w:ind w:left="720" w:hanging="360"/>
              <w:rPr>
                <w:i w:val="1"/>
                <w:iCs w:val="1"/>
                <w:color w:val="0070c0"/>
                <w:sz w:val="18"/>
                <w:szCs w:val="18"/>
              </w:rPr>
            </w:pPr>
            <w:r>
              <w:rPr>
                <w:i w:val="1"/>
                <w:iCs w:val="1"/>
                <w:color w:val="0070c0"/>
                <w:sz w:val="18"/>
                <w:szCs w:val="18"/>
                <w:rtl w:val="0"/>
              </w:rPr>
              <w:t xml:space="preserve">Desplegar el ecosistema del backend en una arquitectura de contenedores, configurando la infraestructura Cloud necesaria para asegurar la alta disponibilidad.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A">
            <w:pPr>
              <w:ind w:left="720" w:firstLine="0"/>
              <w:rPr>
                <w:rFonts w:ascii="Calibri" w:cs="Calibri" w:eastAsia="Calibri" w:hAnsi="Calibri"/>
                <w:i w:val="1"/>
                <w:iCs w:val="1"/>
                <w:color w:val="0070c0"/>
                <w:sz w:val="18"/>
                <w:szCs w:val="18"/>
              </w:rPr>
            </w:pPr>
            <w:r>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B">
            <w:pPr>
              <w:spacing w:after="240" w:before="240" w:lineRule="auto"/>
              <w:rPr>
                <w:i w:val="1"/>
                <w:iCs w:val="1"/>
                <w:color w:val="0070c0"/>
                <w:sz w:val="18"/>
                <w:szCs w:val="18"/>
              </w:rPr>
            </w:pPr>
            <w:r>
              <w:rPr>
                <w:i w:val="1"/>
                <w:iCs w:val="1"/>
                <w:color w:val="0070c0"/>
                <w:sz w:val="18"/>
                <w:szCs w:val="18"/>
                <w:rtl w:val="0"/>
              </w:rPr>
              <w:t xml:space="preserve">Se utilizó el marco de trabajo ágil </w:t>
            </w:r>
            <w:r>
              <w:rPr>
                <w:b w:val="1"/>
                <w:bCs w:val="1"/>
                <w:i w:val="1"/>
                <w:iCs w:val="1"/>
                <w:color w:val="0070c0"/>
                <w:sz w:val="18"/>
                <w:szCs w:val="18"/>
                <w:rtl w:val="0"/>
              </w:rPr>
              <w:t xml:space="preserve">Scrum</w:t>
            </w:r>
            <w:r>
              <w:rPr>
                <w:i w:val="1"/>
                <w:iCs w:val="1"/>
                <w:color w:val="0070c0"/>
                <w:sz w:val="18"/>
                <w:szCs w:val="18"/>
                <w:rtl w:val="0"/>
              </w:rPr>
              <w:t xml:space="preserve"> bajo un modelo de </w:t>
            </w:r>
            <w:r>
              <w:rPr>
                <w:b w:val="1"/>
                <w:bCs w:val="1"/>
                <w:i w:val="1"/>
                <w:iCs w:val="1"/>
                <w:color w:val="0070c0"/>
                <w:sz w:val="18"/>
                <w:szCs w:val="18"/>
                <w:rtl w:val="0"/>
              </w:rPr>
              <w:t xml:space="preserve">Desarrollo Incremental</w:t>
            </w:r>
            <w:r>
              <w:rPr>
                <w:i w:val="1"/>
                <w:iCs w:val="1"/>
                <w:color w:val="0070c0"/>
                <w:sz w:val="18"/>
                <w:szCs w:val="18"/>
                <w:rtl w:val="0"/>
              </w:rPr>
              <w:t xml:space="preserve">, estructurado en Sprints de dos semanas.</w:t>
            </w:r>
          </w:p>
          <w:p w:rsidR="00000000" w:rsidDel="00000000" w:rsidP="00000000" w:rsidRDefault="00000000" w:rsidRPr="00000000" w14:paraId="0000003C">
            <w:pPr>
              <w:numPr>
                <w:ilvl w:val="0"/>
                <w:numId w:val="9"/>
              </w:numPr>
              <w:spacing w:after="0" w:afterAutospacing="0" w:before="240" w:lineRule="auto"/>
              <w:ind w:left="720" w:hanging="360"/>
              <w:rPr>
                <w:i w:val="1"/>
                <w:iCs w:val="1"/>
                <w:color w:val="0070c0"/>
                <w:sz w:val="18"/>
                <w:szCs w:val="18"/>
              </w:rPr>
            </w:pPr>
            <w:r>
              <w:rPr>
                <w:i w:val="1"/>
                <w:iCs w:val="1"/>
                <w:color w:val="0070c0"/>
                <w:sz w:val="18"/>
                <w:szCs w:val="18"/>
                <w:rtl w:val="0"/>
              </w:rPr>
              <w:t xml:space="preserve">Fase 1: Levantamiento de requerimientos (IEEE 29148), diseño del esquema relacional y configuración inicial del repositorio y CI/CD.</w:t>
            </w:r>
          </w:p>
          <w:p w:rsidR="00000000" w:rsidDel="00000000" w:rsidP="00000000" w:rsidRDefault="00000000" w:rsidRPr="00000000" w14:paraId="0000003D">
            <w:pPr>
              <w:numPr>
                <w:ilvl w:val="0"/>
                <w:numId w:val="9"/>
              </w:numPr>
              <w:spacing w:after="0" w:afterAutospacing="0" w:before="0" w:beforeAutospacing="0" w:lineRule="auto"/>
              <w:ind w:left="720" w:hanging="360"/>
              <w:rPr>
                <w:i w:val="1"/>
                <w:iCs w:val="1"/>
                <w:color w:val="0070c0"/>
                <w:sz w:val="18"/>
                <w:szCs w:val="18"/>
              </w:rPr>
            </w:pPr>
            <w:r>
              <w:rPr>
                <w:i w:val="1"/>
                <w:iCs w:val="1"/>
                <w:color w:val="0070c0"/>
                <w:sz w:val="18"/>
                <w:szCs w:val="18"/>
                <w:rtl w:val="0"/>
              </w:rPr>
              <w:t xml:space="preserve">Fase 2: Desarrollo de los endpoints CRUD en FastAPI y conexión con PostgreSQL en Azure.</w:t>
            </w:r>
          </w:p>
          <w:p w:rsidR="00000000" w:rsidDel="00000000" w:rsidP="00000000" w:rsidRDefault="00000000" w:rsidRPr="00000000" w14:paraId="0000003E">
            <w:pPr>
              <w:numPr>
                <w:ilvl w:val="0"/>
                <w:numId w:val="9"/>
              </w:numPr>
              <w:spacing w:after="240" w:before="0" w:beforeAutospacing="0" w:lineRule="auto"/>
              <w:ind w:left="720" w:hanging="360"/>
              <w:rPr>
                <w:i w:val="1"/>
                <w:iCs w:val="1"/>
                <w:color w:val="0070c0"/>
                <w:sz w:val="18"/>
                <w:szCs w:val="18"/>
              </w:rPr>
            </w:pPr>
            <w:r>
              <w:rPr>
                <w:i w:val="1"/>
                <w:iCs w:val="1"/>
                <w:color w:val="0070c0"/>
                <w:sz w:val="18"/>
                <w:szCs w:val="18"/>
                <w:rtl w:val="0"/>
              </w:rPr>
              <w:t xml:space="preserve">Fase 3: Integración de Celery/Redis para tareas en segundo plano y empaquetado en contenedores Docker.</w:t>
            </w:r>
          </w:p>
          <w:p w:rsidR="00000000" w:rsidDel="00000000" w:rsidP="00000000" w:rsidRDefault="00000000" w:rsidRPr="00000000" w14:paraId="0000003F">
            <w:pPr>
              <w:spacing w:after="240" w:before="240" w:lineRule="auto"/>
              <w:rPr>
                <w:i w:val="1"/>
                <w:iCs w:val="1"/>
                <w:color w:val="0070c0"/>
                <w:sz w:val="18"/>
                <w:szCs w:val="18"/>
              </w:rPr>
            </w:pPr>
            <w:r>
              <w:rPr>
                <w:i w:val="1"/>
                <w:iCs w:val="1"/>
                <w:color w:val="0070c0"/>
                <w:sz w:val="18"/>
                <w:szCs w:val="18"/>
                <w:rtl w:val="0"/>
              </w:rPr>
              <w:t xml:space="preserve">El desarrollo incremental fue vital. Al construir una arquitectura compleja (multi-tenant, criptografía y workers en segundo plano), esta metodología nos permitió probar y validar módulos críticos de forma aislada (ej. probar el Row-Level Security en la base de datos) antes de acoplarlos al resto del sistema, reduciendo drásticamente el riesgo de refactorizaciones tardías.</w:t>
            </w:r>
          </w:p>
          <w:p w:rsidR="00000000" w:rsidDel="00000000" w:rsidP="00000000" w:rsidRDefault="00000000" w:rsidRPr="00000000" w14:paraId="00000040">
            <w:pPr>
              <w:ind w:left="0" w:firstLine="0"/>
              <w:rPr>
                <w:i w:val="1"/>
                <w:iCs w:val="1"/>
                <w:color w:val="0070c0"/>
                <w:sz w:val="18"/>
                <w:szCs w:val="18"/>
              </w:rPr>
            </w:pPr>
            <w:r>
              <w:rPr>
                <w:rtl w:val="0"/>
              </w:rPr>
            </w:r>
          </w:p>
          <w:p w:rsidR="00000000" w:rsidDel="00000000" w:rsidP="00000000" w:rsidRDefault="00000000" w:rsidRPr="00000000" w14:paraId="00000041">
            <w:pPr>
              <w:ind w:left="0" w:firstLine="0"/>
              <w:rPr>
                <w:i w:val="1"/>
                <w:iCs w:val="1"/>
                <w:color w:val="0070c0"/>
                <w:sz w:val="18"/>
                <w:szCs w:val="18"/>
              </w:rPr>
            </w:pPr>
            <w:r>
              <w:rPr>
                <w:rtl w:val="0"/>
              </w:rPr>
            </w:r>
          </w:p>
        </w:tc>
      </w:tr>
      <w:tr>
        <w:trPr>
          <w:cantSplit w:val="0"/>
          <w:trHeight w:val="211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Pr>
                <w:i w:val="1"/>
                <w:iCs w:val="1"/>
                <w:color w:val="0070c0"/>
                <w:sz w:val="18"/>
                <w:szCs w:val="18"/>
                <w:rtl w:val="0"/>
              </w:rPr>
              <w:t xml:space="preserve">El proyecto abarcó desde el diseño de diagramas UML (Clases, Casos de Uso) y el Modelo Físico de Base de Datos, hasta la codificación de 161 endpoints de la API REST distribuidos en 24 módulos, sobre un modelo de datos de 37 tablas y validados con 206 pruebas automatizadas, finalizando con la configuración de la infraestructura y el despliegue del software.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Pr>
                <w:i w:val="1"/>
                <w:iCs w:val="1"/>
                <w:color w:val="0070c0"/>
                <w:sz w:val="18"/>
                <w:szCs w:val="18"/>
                <w:rtl w:val="0"/>
              </w:rPr>
              <w:t xml:space="preserve">Contar con un "Resource Pack" (código base y especificaciones entregadas por Alloxentric), dándonos una base técnica sólida que nos permitió concentrarnos en la evolución de la arquitectura y la lógica de negocio.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0" w:right="0" w:firstLine="0"/>
              <w:jc w:val="both"/>
              <w:rPr>
                <w:i w:val="1"/>
                <w:iCs w:val="1"/>
                <w:color w:val="0070c0"/>
                <w:sz w:val="18"/>
                <w:szCs w:val="18"/>
              </w:rPr>
            </w:pPr>
            <w:r>
              <w:rPr>
                <w:i w:val="1"/>
                <w:iCs w:val="1"/>
                <w:color w:val="0070c0"/>
                <w:sz w:val="18"/>
                <w:szCs w:val="18"/>
                <w:rtl w:val="0"/>
              </w:rPr>
              <w:t xml:space="preserve">La principal dificultad fue dimensionar el esfuerzo de integrar la revisión documental con Inteligencia Artificial (OCR/LLM) y una arquitectura de seguridad multi-tenant con Row-Level Security y cifrado JWE dentro del plazo del proyecto. A nivel de infraestructura, constatamos que los procesos asíncronos (Celery/Redis) y los workers de IA no pueden ejecutarse en un entorno serverless, porque requieren procesos persistentes. A esto se sumó coordinar a un equipo de tres integrantes para cubrir un plan pensado originalmente para cuatro roles (dos backend, frontend y QA), en paralelo con las prácticas profesionales de cada uno.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2">
            <w:pPr>
              <w:ind w:left="720" w:firstLine="0"/>
              <w:rPr>
                <w:rFonts w:ascii="Calibri" w:cs="Calibri" w:eastAsia="Calibri" w:hAnsi="Calibri"/>
                <w:i w:val="1"/>
                <w:iCs w:val="1"/>
                <w:color w:val="0070c0"/>
                <w:sz w:val="18"/>
                <w:szCs w:val="18"/>
              </w:rPr>
            </w:pPr>
            <w:r>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14:paraId="7A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59" w:lineRule="auto"/>
              <w:ind w:left="0" w:right="0" w:firstLine="0"/>
              <w:jc w:val="both"/>
              <w:rPr>
                <w:i w:val="1"/>
                <w:iCs w:val="1"/>
                <w:color w:val="0070c0"/>
                <w:sz w:val="18"/>
                <w:szCs w:val="18"/>
              </w:rPr>
            </w:pPr>
            <w:r>
              <w:rPr>
                <w:b w:val="1"/>
                <w:bCs w:val="1"/>
                <w:i w:val="1"/>
                <w:iCs w:val="1"/>
                <w:color w:val="0070c0"/>
                <w:sz w:val="18"/>
                <w:szCs w:val="18"/>
                <w:rtl w:val="0"/>
              </w:rPr>
              <w:t xml:space="preserve">Priorización MoSCoW:</w:t>
            </w:r>
            <w:r>
              <w:rPr>
                <w:i w:val="1"/>
                <w:iCs w:val="1"/>
                <w:color w:val="0070c0"/>
                <w:sz w:val="18"/>
                <w:szCs w:val="18"/>
                <w:rtl w:val="0"/>
              </w:rPr>
              <w:t xml:space="preserve"> concentramos el desarrollo en el motor de acreditación (contratos, checklists, documentos, revisión IA, vencimientos y alertas) por sobre las integraciones con las plataformas del mandante, que quedaron modeladas y con sus endpoints, pero con la sincronización real, el envío de correos y el cobro de suscripciones planificados para el siguiente incremento.</w:t>
            </w:r>
          </w:p>
          <w:p w14:paraId="7A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both"/>
              <w:rPr>
                <w:i w:val="1"/>
                <w:iCs w:val="1"/>
                <w:color w:val="0070c0"/>
                <w:sz w:val="18"/>
                <w:szCs w:val="18"/>
              </w:rPr>
            </w:pPr>
            <w:r>
              <w:rPr>
                <w:b w:val="1"/>
                <w:bCs w:val="1"/>
                <w:i w:val="1"/>
                <w:iCs w:val="1"/>
                <w:color w:val="0070c0"/>
                <w:sz w:val="18"/>
                <w:szCs w:val="18"/>
                <w:rtl w:val="0"/>
              </w:rPr>
              <w:t xml:space="preserve">Infraestructura en contenedores:</w:t>
            </w:r>
            <w:r>
              <w:rPr>
                <w:i w:val="1"/>
                <w:iCs w:val="1"/>
                <w:color w:val="0070c0"/>
                <w:sz w:val="18"/>
                <w:szCs w:val="18"/>
                <w:rtl w:val="0"/>
              </w:rPr>
              <w:t xml:space="preserve"> trasladamos el backend a una arquitectura Docker con una sola imagen para la API, el worker, el planificador (beat) y el job de migración del esquema, preparada para Azure Container Apps.</w:t>
            </w:r>
          </w:p>
          <w:p w14:paraId="7A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both"/>
              <w:rPr>
                <w:i w:val="1"/>
                <w:iCs w:val="1"/>
                <w:color w:val="0070c0"/>
                <w:sz w:val="18"/>
                <w:szCs w:val="18"/>
              </w:rPr>
            </w:pPr>
            <w:r>
              <w:rPr>
                <w:b w:val="1"/>
                <w:bCs w:val="1"/>
                <w:i w:val="1"/>
                <w:iCs w:val="1"/>
                <w:color w:val="0070c0"/>
                <w:sz w:val="18"/>
                <w:szCs w:val="18"/>
                <w:rtl w:val="0"/>
              </w:rPr>
              <w:t xml:space="preserve">Seguridad validada en el motor:</w:t>
            </w:r>
            <w:r>
              <w:rPr>
                <w:i w:val="1"/>
                <w:iCs w:val="1"/>
                <w:color w:val="0070c0"/>
                <w:sz w:val="18"/>
                <w:szCs w:val="18"/>
                <w:rtl w:val="0"/>
              </w:rPr>
              <w:t xml:space="preserve"> la API se conecta con un rol de base de datos sin privilegio para saltarse RLS, y la suite de pruebas corre contra PostgreSQL 16 real (no SQLite) para comprobar que una empresa no puede ver datos de otra.</w:t>
            </w:r>
          </w:p>
          <w:p w14:paraId="7A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both"/>
              <w:rPr>
                <w:i w:val="1"/>
                <w:iCs w:val="1"/>
                <w:color w:val="0070c0"/>
                <w:sz w:val="18"/>
                <w:szCs w:val="18"/>
              </w:rPr>
            </w:pPr>
            <w:r>
              <w:rPr>
                <w:b w:val="1"/>
                <w:bCs w:val="1"/>
                <w:i w:val="1"/>
                <w:iCs w:val="1"/>
                <w:color w:val="0070c0"/>
                <w:sz w:val="18"/>
                <w:szCs w:val="18"/>
                <w:rtl w:val="0"/>
              </w:rPr>
              <w:t xml:space="preserve">Organización del equipo:</w:t>
            </w:r>
            <w:r>
              <w:rPr>
                <w:i w:val="1"/>
                <w:iCs w:val="1"/>
                <w:color w:val="0070c0"/>
                <w:sz w:val="18"/>
                <w:szCs w:val="18"/>
                <w:rtl w:val="0"/>
              </w:rPr>
              <w:t xml:space="preserve"> redistribuimos los cuatro roles de la planificación original entre los tres integrantes y gestionamos las tareas con Jira y Pull Requests en GitHub.</w:t>
            </w:r>
          </w:p>
        </w:tc>
      </w:tr>
      <w:tr>
        <w:trPr>
          <w:cantSplit w:val="0"/>
          <w:trHeight w:val="1112"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55">
            <w:pPr>
              <w:ind w:left="743" w:firstLine="0"/>
              <w:rPr>
                <w:rFonts w:ascii="Calibri" w:cs="Calibri" w:eastAsia="Calibri" w:hAnsi="Calibri"/>
                <w:i w:val="1"/>
                <w:iCs w:val="1"/>
                <w:color w:val="0070c0"/>
                <w:sz w:val="18"/>
                <w:szCs w:val="18"/>
              </w:rPr>
            </w:pPr>
            <w:r>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56">
            <w:pPr>
              <w:numPr>
                <w:ilvl w:val="0"/>
                <w:numId w:val="10"/>
              </w:numPr>
              <w:spacing w:after="0" w:afterAutospacing="0"/>
              <w:ind w:left="1440" w:hanging="360"/>
              <w:rPr>
                <w:i w:val="1"/>
                <w:iCs w:val="1"/>
                <w:color w:val="0070c0"/>
                <w:sz w:val="18"/>
                <w:szCs w:val="18"/>
                <w:u w:val="none"/>
              </w:rPr>
            </w:pPr>
            <w:r>
              <w:rPr>
                <w:b w:val="1"/>
                <w:bCs w:val="1"/>
                <w:i w:val="1"/>
                <w:iCs w:val="1"/>
                <w:color w:val="0070c0"/>
                <w:sz w:val="18"/>
                <w:szCs w:val="18"/>
                <w:rtl w:val="0"/>
              </w:rPr>
              <w:t xml:space="preserve">Modelo Físico de Base de Datos: </w:t>
            </w:r>
            <w:r>
              <w:rPr>
                <w:i w:val="1"/>
                <w:iCs w:val="1"/>
                <w:color w:val="0070c0"/>
                <w:sz w:val="18"/>
                <w:szCs w:val="18"/>
                <w:rtl w:val="0"/>
              </w:rPr>
              <w:t xml:space="preserve">Esquema de PostgreSQL demostrando la integridad referencial y las políticas RLS.</w:t>
            </w:r>
            <w:r>
              <w:rPr>
                <w:rtl w:val="0"/>
              </w:rPr>
            </w:r>
          </w:p>
          <w:p w:rsidR="00000000" w:rsidDel="00000000" w:rsidP="00000000" w:rsidRDefault="00000000" w:rsidRPr="00000000" w14:paraId="00000057">
            <w:pPr>
              <w:numPr>
                <w:ilvl w:val="0"/>
                <w:numId w:val="10"/>
              </w:numPr>
              <w:spacing w:after="0" w:afterAutospacing="0"/>
              <w:ind w:left="1440" w:hanging="360"/>
              <w:rPr>
                <w:i w:val="1"/>
                <w:iCs w:val="1"/>
                <w:color w:val="0070c0"/>
                <w:sz w:val="18"/>
                <w:szCs w:val="18"/>
              </w:rPr>
            </w:pPr>
            <w:r>
              <w:rPr>
                <w:b w:val="1"/>
                <w:bCs w:val="1"/>
                <w:i w:val="1"/>
                <w:iCs w:val="1"/>
                <w:color w:val="0070c0"/>
                <w:sz w:val="18"/>
                <w:szCs w:val="18"/>
                <w:rtl w:val="0"/>
              </w:rPr>
              <w:t xml:space="preserve">Diagramas UML de Arquitectura:</w:t>
            </w:r>
            <w:r>
              <w:rPr>
                <w:i w:val="1"/>
                <w:iCs w:val="1"/>
                <w:color w:val="0070c0"/>
                <w:sz w:val="18"/>
                <w:szCs w:val="18"/>
                <w:rtl w:val="0"/>
              </w:rPr>
              <w:t xml:space="preserve"> Clases y Actividades que sustentan el diseño del código.</w:t>
            </w:r>
          </w:p>
          <w:p w:rsidR="00000000" w:rsidDel="00000000" w:rsidP="00000000" w:rsidRDefault="00000000" w:rsidRPr="00000000" w14:paraId="00000058">
            <w:pPr>
              <w:numPr>
                <w:ilvl w:val="0"/>
                <w:numId w:val="10"/>
              </w:numPr>
              <w:spacing w:after="0" w:afterAutospacing="0" w:before="0" w:beforeAutospacing="0" w:lineRule="auto"/>
              <w:ind w:left="1440" w:hanging="360"/>
              <w:rPr>
                <w:i w:val="1"/>
                <w:iCs w:val="1"/>
                <w:color w:val="0070c0"/>
                <w:sz w:val="18"/>
                <w:szCs w:val="18"/>
                <w:u w:val="none"/>
              </w:rPr>
            </w:pPr>
            <w:r>
              <w:rPr>
                <w:b w:val="1"/>
                <w:bCs w:val="1"/>
                <w:i w:val="1"/>
                <w:iCs w:val="1"/>
                <w:color w:val="0070c0"/>
                <w:sz w:val="18"/>
                <w:szCs w:val="18"/>
                <w:rtl w:val="0"/>
              </w:rPr>
              <w:t xml:space="preserve">Repositorio de Código (GitHub):</w:t>
            </w:r>
            <w:r>
              <w:rPr>
                <w:i w:val="1"/>
                <w:iCs w:val="1"/>
                <w:color w:val="0070c0"/>
                <w:sz w:val="18"/>
                <w:szCs w:val="18"/>
                <w:rtl w:val="0"/>
              </w:rPr>
              <w:t xml:space="preserve"> Evidencia del control de versiones, trabajo colaborativo mediante Pull Requests y el empaquetado final en Dockerfiles.</w:t>
            </w:r>
          </w:p>
          <w:p w:rsidR="00000000" w:rsidDel="00000000" w:rsidP="00000000" w:rsidRDefault="00000000" w:rsidRPr="00000000" w14:paraId="00000059">
            <w:pPr>
              <w:numPr>
                <w:ilvl w:val="0"/>
                <w:numId w:val="10"/>
              </w:numPr>
              <w:ind w:left="1440" w:hanging="360"/>
              <w:rPr>
                <w:i w:val="1"/>
                <w:iCs w:val="1"/>
                <w:color w:val="0070c0"/>
                <w:sz w:val="18"/>
                <w:szCs w:val="18"/>
                <w:u w:val="none"/>
              </w:rPr>
            </w:pPr>
            <w:r>
              <w:rPr>
                <w:b w:val="1"/>
                <w:bCs w:val="1"/>
                <w:i w:val="1"/>
                <w:iCs w:val="1"/>
                <w:color w:val="0070c0"/>
                <w:sz w:val="18"/>
                <w:szCs w:val="18"/>
                <w:rtl w:val="0"/>
              </w:rPr>
              <w:t xml:space="preserve">Evidencias de sistema:</w:t>
            </w:r>
            <w:r>
              <w:rPr>
                <w:i w:val="1"/>
                <w:iCs w:val="1"/>
                <w:color w:val="0070c0"/>
                <w:sz w:val="18"/>
                <w:szCs w:val="18"/>
                <w:rtl w:val="0"/>
              </w:rPr>
              <w:t xml:space="preserve"> API desplegada con su documentación OpenAPI (/docs), frontend web, catálogo de los 161 endpoints, diagramas entidad-relación y diccionario de datos de las 37 tablas (carpeta Evidencias Proyecto / Evidencias de sistema).</w:t>
            </w:r>
          </w:p>
          <w:p w:rsidR="00000000" w:rsidDel="00000000" w:rsidP="00000000" w:rsidRDefault="00000000" w:rsidRPr="00000000" w14:paraId="0000005A">
            <w:pPr>
              <w:ind w:left="743" w:firstLine="0"/>
              <w:rPr>
                <w:i w:val="1"/>
                <w:iCs w:val="1"/>
                <w:color w:val="0070c0"/>
                <w:sz w:val="18"/>
                <w:szCs w:val="18"/>
              </w:rPr>
            </w:pPr>
            <w:r>
              <w:rPr>
                <w:rtl w:val="0"/>
              </w:rPr>
            </w:r>
          </w:p>
        </w:tc>
      </w:tr>
      <w:tr>
        <w:trPr>
          <w:cantSplit w:val="0"/>
          <w:trHeight w:val="2547"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Pr>
                <w:i w:val="1"/>
                <w:iCs w:val="1"/>
                <w:color w:val="0070c0"/>
                <w:sz w:val="18"/>
                <w:szCs w:val="18"/>
                <w:rtl w:val="0"/>
              </w:rPr>
              <w:t xml:space="preserve">Al inicio de la asignatura, mi interés principal era "escribir código" en lenguajes como Python. Sin embargo, este Proyecto APT redefinió mi visión profesional. Enfrentarme al problema real de la infraestructura me enseñó que un backend robusto carece de valor si no corre sobre la arquitectura adecuada. El proyecto me obligó a evolucionar de un "programador de funciones" a un desarrollador backend con visión de infraestructura y despliegue.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Pr>
                <w:i w:val="1"/>
                <w:iCs w:val="1"/>
                <w:color w:val="0070c0"/>
                <w:sz w:val="18"/>
                <w:szCs w:val="18"/>
                <w:rtl w:val="0"/>
              </w:rPr>
              <w:t xml:space="preserve">A partir de este proyecto, mis intereses profesionales se han expandido hacia la </w:t>
            </w:r>
            <w:r>
              <w:rPr>
                <w:b w:val="1"/>
                <w:bCs w:val="1"/>
                <w:i w:val="1"/>
                <w:iCs w:val="1"/>
                <w:color w:val="0070c0"/>
                <w:sz w:val="18"/>
                <w:szCs w:val="18"/>
                <w:rtl w:val="0"/>
              </w:rPr>
              <w:t xml:space="preserve">Arquitectura Cloud y la cultura DevOps</w:t>
            </w:r>
            <w:r>
              <w:rPr>
                <w:i w:val="1"/>
                <w:iCs w:val="1"/>
                <w:color w:val="0070c0"/>
                <w:sz w:val="18"/>
                <w:szCs w:val="18"/>
                <w:rtl w:val="0"/>
              </w:rPr>
              <w:t xml:space="preserve">. Laboralmente, me proyecto trabajando como Ingeniero Backend en ecosistemas distribuidos, profundizando en tecnologías de orquestación (Docker/Kubernetes), bases de datos de alta concurrencia y servicios en la nube (Azure/AWS). Quiero especializarme en construir el "motor invisible" que soporta sistemas empresariales críticos. </w:t>
            </w:r>
          </w:p>
        </w:tc>
      </w:tr>
    </w:tbl>
    <w:p w:rsidR="00000000" w:rsidDel="00000000" w:rsidP="00000000" w:rsidRDefault="00000000" w:rsidRPr="00000000" w14:paraId="00000063">
      <w:pPr>
        <w:rPr>
          <w:b w:val="1"/>
          <w:bCs w:val="1"/>
        </w:rPr>
      </w:pPr>
      <w:r>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66">
      <w:pPr>
        <w:rPr/>
      </w:pPr>
      <w:r>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XkTkWHmrUKyLzBiTlWwJt4ig==">CgMxLjA4AHIhMU9iaDRSdlJTUHE5dW9QS09aMEhSVVNPNFlJeGxnNks1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