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1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Modelo de Base de Datos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Modelo físico PostgreSQL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Acredittia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98.0" w:type="dxa"/>
        <w:jc w:val="left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2704902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instrText xml:space="preserve"> TOC \h \u \z \t "Heading 1,1,Heading 2,2," </w:instrText>
          </w:r>
          <w:r>
            <w:fldChar w:fldCharType="separate"/>
          </w:r>
          <w:hyperlink w:anchor="_Toc_acr_101">
            <w:r>
              <w:rPr>
                <w:rFonts w:ascii="Calibri" w:cs="Calibri" w:hAnsi="Calibri"/>
                <w:b w:val="1"/>
                <w:sz w:val="22"/>
              </w:rPr>
              <w:t xml:space="preserve">1. Resumen del modelo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2">
            <w:r>
              <w:rPr>
                <w:rFonts w:ascii="Calibri" w:cs="Calibri" w:hAnsi="Calibri"/>
                <w:b w:val="1"/>
                <w:sz w:val="22"/>
              </w:rPr>
              <w:t xml:space="preserve">2. Dominios del modelo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3">
            <w:r>
              <w:rPr>
                <w:rFonts w:ascii="Calibri" w:cs="Calibri" w:hAnsi="Calibri"/>
                <w:b w:val="1"/>
                <w:sz w:val="22"/>
              </w:rPr>
              <w:t xml:space="preserve">3. Diagramas entidad-relación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4">
            <w:r>
              <w:rPr>
                <w:rFonts w:ascii="Calibri" w:cs="Calibri" w:hAnsi="Calibri"/>
                <w:sz w:val="22"/>
              </w:rPr>
              <w:t xml:space="preserve">3.1. Vista general (claves primarias y foráneas)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5">
            <w:r>
              <w:rPr>
                <w:rFonts w:ascii="Calibri" w:cs="Calibri" w:hAnsi="Calibri"/>
                <w:sz w:val="22"/>
              </w:rPr>
              <w:t xml:space="preserve">3.2. Empresas, usuarios y suscripción</w:t>
              <w:tab/>
              <w:t>7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6">
            <w:r>
              <w:rPr>
                <w:rFonts w:ascii="Calibri" w:cs="Calibri" w:hAnsi="Calibri"/>
                <w:sz w:val="22"/>
              </w:rPr>
              <w:t xml:space="preserve">3.3. Contratos, personal y requisitos</w:t>
              <w:tab/>
              <w:t>8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7">
            <w:r>
              <w:rPr>
                <w:rFonts w:ascii="Calibri" w:cs="Calibri" w:hAnsi="Calibri"/>
                <w:sz w:val="22"/>
              </w:rPr>
              <w:t xml:space="preserve">3.4. Documentos, IA, alertas y reportes</w:t>
              <w:tab/>
              <w:t>9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8">
            <w:r>
              <w:rPr>
                <w:rFonts w:ascii="Calibri" w:cs="Calibri" w:hAnsi="Calibri"/>
                <w:sz w:val="22"/>
              </w:rPr>
              <w:t xml:space="preserve">3.5. Plataformas del mandante y bóveda JWE</w:t>
              <w:tab/>
              <w:t>10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9">
            <w:r>
              <w:rPr>
                <w:rFonts w:ascii="Calibri" w:cs="Calibri" w:hAnsi="Calibri"/>
                <w:b w:val="1"/>
                <w:sz w:val="22"/>
              </w:rPr>
              <w:t xml:space="preserve">4. Seguridad a nivel de datos</w:t>
              <w:tab/>
              <w:t>12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0">
            <w:r>
              <w:rPr>
                <w:rFonts w:ascii="Calibri" w:cs="Calibri" w:hAnsi="Calibri"/>
                <w:b w:val="1"/>
                <w:sz w:val="22"/>
              </w:rPr>
              <w:t xml:space="preserve">5. Diccionario de datos</w:t>
              <w:tab/>
              <w:t>12</w:t>
            </w:r>
          </w:hyperlink>
          <w:r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line="276" w:lineRule="auto"/>
        <w:jc w:val="both"/>
        <w:rPr>
          <w:b w:val="1"/>
          <w:bCs w:val="1"/>
          <w:color w:val="3660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30/10/2026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Equipo Acredittia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Creación del documento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bookmarkStart w:id="101" w:name="_Toc_acr_101"/>
      <w:bookmarkEnd w:id="101"/>
      <w:r>
        <w:rPr/>
        <w:t xml:space="preserve">Resumen del modelo</w:t>
      </w:r>
    </w:p>
    <w:p>
      <w:pPr>
        <w:spacing w:before="120" w:after="120" w:line="276" w:lineRule="auto"/>
        <w:jc w:val="both"/>
      </w:pPr>
      <w:r>
        <w:rPr/>
        <w:t xml:space="preserve">Este documento describe el modelo físico de la base de datos de Acredittia sobre PostgreSQL 16 (Azure Database for PostgreSQL Flexible Server en producción). Los diagramas y el diccionario se obtuvieron del mapeo SQLAlchemy del backend (app/backend/app/models.py), que corresponde al esquema v1.1.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3500"/>
        <w:gridCol w:w="5200"/>
      </w:tblGrid>
      <w:tr>
        <w:trPr>
          <w:cantSplit/>
          <w:tblHeader/>
        </w:trPr>
        <w:tc>
          <w:tcPr>
            <w:tcW w:w="35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Indicador</w:t>
            </w:r>
          </w:p>
        </w:tc>
        <w:tc>
          <w:tcPr>
            <w:tcW w:w="52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Motor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PostgreSQL 16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Tablas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37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Columnas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395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Claves foráneas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66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Tablas multi-tenant (con company_id)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Scripts del esquema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01_esquema · 02_indices · 03_triggers · 04_rls · 05_verificacion · 06_migracion_v11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pStyle w:val="Heading1"/>
        <w:numPr>
          <w:ilvl w:val="0"/>
          <w:numId w:val="2"/>
        </w:numPr>
      </w:pPr>
      <w:bookmarkStart w:id="102" w:name="_Toc_acr_102"/>
      <w:bookmarkEnd w:id="102"/>
      <w:r>
        <w:rPr/>
        <w:t xml:space="preserve">Dominios del modelo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3000"/>
        <w:gridCol w:w="5700"/>
      </w:tblGrid>
      <w:tr>
        <w:trPr>
          <w:cantSplit/>
          <w:tblHeader/>
        </w:trPr>
        <w:tc>
          <w:tcPr>
            <w:tcW w:w="30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Dominio</w:t>
            </w:r>
          </w:p>
        </w:tc>
        <w:tc>
          <w:tcPr>
            <w:tcW w:w="57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Tablas principales</w:t>
            </w:r>
          </w:p>
        </w:tc>
      </w:tr>
      <w:tr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Empresas, usuarios y suscripción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companies, users, refresh_tokens, password_reset_tokens, notificacion_preferencias, actividad, planes, suscripciones, facturas</w:t>
            </w:r>
          </w:p>
        </w:tc>
      </w:tr>
      <w:tr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Contratos, personal y requisitos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faenas, contratos, cargos, cargo_requisitos, requisito_templates, doc_ejemplos, contrato_requisitos, contrato_plantilla_overrides, sujetos, licencias_internas, requisitos_terreno, proveedores_catalogo</w:t>
            </w:r>
          </w:p>
        </w:tc>
      </w:tr>
      <w:tr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Documentos, IA, alertas y reportes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documentos, documento_archivos, ia_reviews, ia_hallazgos, alertas, eventos_calendario, reportes, reportes_programados, cumplimiento_snapshots</w:t>
            </w:r>
          </w:p>
        </w:tc>
      </w:tr>
      <w:tr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Plataformas del mandante y bóveda JWE</w:t>
            </w:r>
          </w:p>
        </w:tc>
        <w:tc>
          <w:tcPr>
            <w:tcW w:w="5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faena_plataformas, company_faena_plataformas, contrato_plataformas, plataforma_credenciales, plataforma_credencial_versiones, integraciones, sync_logs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bookmarkStart w:id="103" w:name="_Toc_acr_103"/>
      <w:bookmarkEnd w:id="103"/>
      <w:r>
        <w:rPr/>
        <w:t xml:space="preserve">Diagramas entidad-relación</w:t>
      </w:r>
    </w:p>
    <w:p>
      <w:pPr>
        <w:pStyle w:val="Heading2"/>
        <w:numPr>
          <w:ilvl w:val="1"/>
          <w:numId w:val="2"/>
        </w:numPr>
      </w:pPr>
      <w:bookmarkStart w:id="104" w:name="_Toc_acr_104"/>
      <w:bookmarkEnd w:id="104"/>
      <w:r>
        <w:rPr/>
        <w:t xml:space="preserve">Vista general (claves primarias y foráneas)</w:t>
      </w:r>
    </w:p>
    <w:p>
      <w:pPr>
        <w:keepNext/>
        <w:jc w:val="center"/>
      </w:pPr>
      <w:r>
        <w:drawing>
          <wp:inline>
            <wp:extent cx="5760720" cy="1319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Modelo_compl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Diagrama ER — Vista general (claves primarias y foráneas)</w:t>
      </w:r>
    </w:p>
    <w:p>
      <w:pPr>
        <w:pStyle w:val="Heading2"/>
        <w:pageBreakBefore w:val="1"/>
        <w:numPr>
          <w:ilvl w:val="1"/>
          <w:numId w:val="2"/>
        </w:numPr>
      </w:pPr>
      <w:bookmarkStart w:id="105" w:name="_Toc_acr_105"/>
      <w:bookmarkEnd w:id="105"/>
      <w:r>
        <w:rPr/>
        <w:t xml:space="preserve">Empresas, usuarios y suscripción</w:t>
      </w:r>
    </w:p>
    <w:p>
      <w:pPr>
        <w:keepNext/>
        <w:jc w:val="center"/>
      </w:pPr>
      <w:r>
        <w:drawing>
          <wp:inline>
            <wp:extent cx="5760720" cy="4896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Empresas_usuarios_suscrip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Diagrama ER — Empresas, usuarios y suscripción</w:t>
      </w:r>
    </w:p>
    <w:p>
      <w:pPr>
        <w:pStyle w:val="Heading2"/>
        <w:pageBreakBefore w:val="1"/>
        <w:numPr>
          <w:ilvl w:val="1"/>
          <w:numId w:val="2"/>
        </w:numPr>
      </w:pPr>
      <w:bookmarkStart w:id="106" w:name="_Toc_acr_106"/>
      <w:bookmarkEnd w:id="106"/>
      <w:r>
        <w:rPr/>
        <w:t xml:space="preserve">Contratos, personal y requisitos</w:t>
      </w:r>
    </w:p>
    <w:p>
      <w:pPr>
        <w:keepNext/>
        <w:jc w:val="center"/>
      </w:pPr>
      <w:r>
        <w:drawing>
          <wp:inline>
            <wp:extent cx="5760720" cy="5660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ontratos_personal_y_requisi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Diagrama ER — Contratos, personal y requisitos</w:t>
      </w:r>
    </w:p>
    <w:p>
      <w:pPr>
        <w:pStyle w:val="Heading2"/>
        <w:pageBreakBefore w:val="1"/>
        <w:numPr>
          <w:ilvl w:val="1"/>
          <w:numId w:val="2"/>
        </w:numPr>
      </w:pPr>
      <w:bookmarkStart w:id="107" w:name="_Toc_acr_107"/>
      <w:bookmarkEnd w:id="107"/>
      <w:r>
        <w:rPr/>
        <w:t xml:space="preserve">Documentos, IA, alertas y reportes</w:t>
      </w:r>
    </w:p>
    <w:p>
      <w:pPr>
        <w:keepNext/>
        <w:jc w:val="center"/>
      </w:pPr>
      <w:r>
        <w:drawing>
          <wp:inline>
            <wp:extent cx="5760720" cy="4007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ocumentos_IA_alertas_repor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Diagrama ER — Documentos, IA, alertas y reportes</w:t>
      </w:r>
    </w:p>
    <w:p>
      <w:pPr>
        <w:pStyle w:val="Heading2"/>
        <w:pageBreakBefore w:val="1"/>
        <w:numPr>
          <w:ilvl w:val="1"/>
          <w:numId w:val="2"/>
        </w:numPr>
      </w:pPr>
      <w:bookmarkStart w:id="108" w:name="_Toc_acr_108"/>
      <w:bookmarkEnd w:id="108"/>
      <w:r>
        <w:rPr/>
        <w:t xml:space="preserve">Plataformas del mandante y bóveda JWE</w:t>
      </w:r>
    </w:p>
    <w:p>
      <w:pPr>
        <w:keepNext/>
        <w:jc w:val="center"/>
      </w:pPr>
      <w:r>
        <w:drawing>
          <wp:inline>
            <wp:extent cx="5760720" cy="12896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Plataformas_mandante_y_boveda_JW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9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jc w:val="center"/>
      </w:pPr>
      <w:r>
        <w:rPr>
          <w:i w:val="1"/>
          <w:iCs w:val="1"/>
          <w:color w:val="595959"/>
          <w:sz w:val="18"/>
          <w:szCs w:val="18"/>
        </w:rPr>
        <w:t xml:space="preserve">Diagrama ER — Plataformas del mandante y bóveda JWE</w:t>
      </w:r>
    </w:p>
    <w:p>
      <w:pPr>
        <w:pStyle w:val="Heading1"/>
        <w:numPr>
          <w:ilvl w:val="0"/>
          <w:numId w:val="2"/>
        </w:numPr>
      </w:pPr>
      <w:bookmarkStart w:id="109" w:name="_Toc_acr_109"/>
      <w:bookmarkEnd w:id="109"/>
      <w:r>
        <w:rPr/>
        <w:t xml:space="preserve">Seguridad a nivel de datos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Row-Level Security: </w:t>
      </w:r>
      <w:r>
        <w:rPr/>
        <w:t xml:space="preserve">RLS con FORCE ROW LEVEL SECURITY. La API se conecta con el rol acredittia_app (NOBYPASSRLS) y en cada transacción fija app.company_id, app.is_admin y app.user_id. Así el propio motor filtra las filas de cada empresa, aunque una consulta olvide filtrar.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Bóveda de credenciales: </w:t>
      </w:r>
      <w:r>
        <w:rPr/>
        <w:t xml:space="preserve">plataforma_credenciales.credencial_jwe guarda las credenciales del mandante cifradas en JWE (RSA-OAEP-256 + A256GCM, clave en Azure Key Vault). El SELECT de esa columna está revocado para acredittia_app.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Pruebas de aislamiento: </w:t>
      </w:r>
      <w:r>
        <w:rPr/>
        <w:t xml:space="preserve">tests/test_tenants.py y tests/test_esquema.py verifican que una empresa no alcanza recursos de otra, que RLS filtra aunque la consulta no filtre y que una sesión sin contexto no devuelve filas.</w:t>
      </w:r>
    </w:p>
    <w:p>
      <w:pPr>
        <w:pStyle w:val="Heading1"/>
        <w:numPr>
          <w:ilvl w:val="0"/>
          <w:numId w:val="2"/>
        </w:numPr>
      </w:pPr>
      <w:bookmarkStart w:id="110" w:name="_Toc_acr_110"/>
      <w:bookmarkEnd w:id="110"/>
      <w:r>
        <w:rPr/>
        <w:t xml:space="preserve">Diccionario de datos</w:t>
      </w:r>
    </w:p>
    <w:p>
      <w:pPr>
        <w:spacing w:before="120" w:after="120" w:line="276" w:lineRule="auto"/>
        <w:jc w:val="both"/>
      </w:pPr>
      <w:r>
        <w:rPr/>
        <w:t xml:space="preserve">El diccionario completo, con el tipo, la clave primaria o foránea, la nulabilidad y el alcance multi-tenant de cada una de las 395 columnas, está en Diccionario_de_datos_Acredittia.xlsx, en esta misma carpeta.</w:t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pPr>
    <w:r w:rsidDel="00000000" w:rsidR="00000000" w:rsidRPr="00000000">
      <w:rPr>
        <w:rtl w:val="0"/>
      </w:rPr>
      <w:tab/>
      <w:t xml:space="preserve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  <w:rtl w:val="0"/>
      </w:rPr>
      <w:t xml:space="preserve">Modelo de Base de Datos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-706893</wp:posOffset>
          </wp:positionH>
          <wp:positionV relativeFrom="paragraph">
            <wp:posOffset>-187638</wp:posOffset>
          </wp:positionV>
          <wp:extent cx="1773697" cy="434375"/>
          <wp:effectExtent b="0" l="0" r="0" t="0"/>
          <wp:wrapSquare wrapText="bothSides" distB="0" distT="0" distL="114300" distR="11430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3697" cy="43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line="240" w:lineRule="auto"/>
      <w:jc w:val="both"/>
      <w:rPr/>
    </w:pPr>
    <w:r w:rsidDel="00000000" w:rsidR="00000000" w:rsidRPr="00000000">
      <w:rPr/>
      <w:drawing>
        <wp:inline distB="0" distT="0" distL="0" distR="0">
          <wp:extent cx="2528079" cy="593408"/>
          <wp:effectExtent b="0" l="0" r="0" t="0"/>
          <wp:docPr descr="http://www.duoc.cl/sites/default/files/logo_summit_0.png" id="14" name="image2.png"/>
          <a:graphic>
            <a:graphicData uri="http://schemas.openxmlformats.org/drawingml/2006/picture">
              <pic:pic>
                <pic:nvPicPr>
                  <pic:cNvPr descr="http://www.duoc.cl/sites/default/files/logo_summit_0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8079" cy="5934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color w:val="1f497d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360"/>
      <w:jc w:val="both"/>
    </w:pPr>
    <w:rPr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  <w:ind w:left="792" w:hanging="432"/>
      <w:jc w:val="both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link w:val="PrrafodelistaCar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VGS1" w:customStyle="1">
    <w:name w:val="VGS1"/>
    <w:basedOn w:val="Prrafodelista"/>
    <w:link w:val="VGS1Car"/>
    <w:qFormat w:val="1"/>
    <w:rsid w:val="00A92FF1"/>
    <w:pPr>
      <w:numPr>
        <w:numId w:val="11"/>
      </w:numPr>
    </w:pPr>
    <w:rPr>
      <w:color w:val="1f497d" w:themeColor="text2"/>
      <w:sz w:val="28"/>
    </w:rPr>
  </w:style>
  <w:style w:type="paragraph" w:styleId="VGS2" w:customStyle="1">
    <w:name w:val="VGS2"/>
    <w:basedOn w:val="Prrafodelista"/>
    <w:link w:val="VGS2Car"/>
    <w:qFormat w:val="1"/>
    <w:rsid w:val="00A92FF1"/>
    <w:pPr>
      <w:numPr>
        <w:ilvl w:val="1"/>
        <w:numId w:val="11"/>
      </w:numPr>
    </w:pPr>
    <w:rPr>
      <w:sz w:val="24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A92FF1"/>
  </w:style>
  <w:style w:type="character" w:styleId="VGS1Car" w:customStyle="1">
    <w:name w:val="VGS1 Car"/>
    <w:basedOn w:val="PrrafodelistaCar"/>
    <w:link w:val="VGS1"/>
    <w:rsid w:val="00A92FF1"/>
    <w:rPr>
      <w:color w:val="1f497d" w:themeColor="text2"/>
      <w:sz w:val="28"/>
    </w:rPr>
  </w:style>
  <w:style w:type="character" w:styleId="VGS2Car" w:customStyle="1">
    <w:name w:val="VGS2 Car"/>
    <w:basedOn w:val="PrrafodelistaCar"/>
    <w:link w:val="VGS2"/>
    <w:rsid w:val="00A92FF1"/>
    <w:rPr>
      <w:sz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vV62Fav3cW6IuKDpqf95rmc6A==">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2019-10-26T00:25:00Z</dcterms:created>
  <dc:creator>BQuevedo</dc:creator>
</cp:coreProperties>
</file>