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Acredittia</w:t>
            </w:r>
            <w:r w:rsidDel="00000000" w:rsidR="00000000" w:rsidRPr="00000000">
              <w:rPr>
                <w:rFonts w:ascii="Calibri" w:cs="Calibri" w:eastAsia="Calibri" w:hAnsi="Calibri"/>
                <w:i w:val="1"/>
                <w:iCs w:val="1"/>
                <w:color w:val="548dd4"/>
                <w:sz w:val="20"/>
                <w:szCs w:val="20"/>
                <w:rtl w:val="0"/>
              </w:rPr>
              <w:t xml:space="preserv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color w:val="548dd4"/>
                <w:sz w:val="20"/>
                <w:szCs w:val="20"/>
                <w:rtl w:val="0"/>
              </w:rPr>
              <w:t xml:space="preserve">Desarrollo de Software, Gestión de Bases de Datos, Arquitectura Cloud y Seguridad de la Información.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numPr>
                <w:ilvl w:val="0"/>
                <w:numId w:val="6"/>
              </w:numPr>
              <w:spacing w:after="0" w:afterAutospacing="0" w:line="276"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Construir el modelo arquitectónico de una solución sistémica que soporte los procesos de negocio de acuerdo a los requerimientos de la organización y estándares de la industria.</w:t>
            </w:r>
          </w:p>
          <w:p w:rsidR="00000000" w:rsidDel="00000000" w:rsidP="00000000" w:rsidRDefault="00000000" w:rsidRPr="00000000" w14:paraId="00000015">
            <w:pPr>
              <w:numPr>
                <w:ilvl w:val="0"/>
                <w:numId w:val="7"/>
              </w:numPr>
              <w:spacing w:after="0" w:afterAutospacing="0" w:line="276"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Construir Modelos de datos para soportar los requerimientos de la organización acuerdo a un diseño definido y escalable en el tiempo.</w:t>
            </w:r>
          </w:p>
          <w:p w:rsidR="00000000" w:rsidDel="00000000" w:rsidP="00000000" w:rsidRDefault="00000000" w:rsidRPr="00000000" w14:paraId="00000016">
            <w:pPr>
              <w:numPr>
                <w:ilvl w:val="0"/>
                <w:numId w:val="2"/>
              </w:numPr>
              <w:spacing w:after="0" w:afterAutospacing="0" w:line="276"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Implementar soluciones sistémicas integrales para automatizar u optimizar procesos de negocio de acuerdo a las necesidades de la organización.</w:t>
            </w:r>
          </w:p>
          <w:p w:rsidR="00000000" w:rsidDel="00000000" w:rsidP="00000000" w:rsidRDefault="00000000" w:rsidRPr="00000000" w14:paraId="00000017">
            <w:pPr>
              <w:numPr>
                <w:ilvl w:val="0"/>
                <w:numId w:val="2"/>
              </w:numPr>
              <w:spacing w:after="0" w:afterAutospacing="0" w:line="276"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18">
            <w:pPr>
              <w:numPr>
                <w:ilvl w:val="0"/>
                <w:numId w:val="1"/>
              </w:numPr>
              <w:spacing w:line="276"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Gestionar proyectos informáticos, ofreciendo alternativas para la toma de decisiones de acuerdo a los requerimientos de la organización.</w:t>
            </w:r>
          </w:p>
        </w:tc>
      </w:tr>
    </w:tbl>
    <w:p w:rsidR="00000000" w:rsidDel="00000000" w:rsidP="00000000" w:rsidRDefault="00000000" w:rsidRPr="00000000" w14:paraId="00000019">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A">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bCs w:val="0"/>
                <w:i w:val="1"/>
                <w:iCs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70c0"/>
                <w:sz w:val="18"/>
                <w:szCs w:val="1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color w:val="0070c0"/>
                <w:sz w:val="18"/>
                <w:szCs w:val="18"/>
                <w:rtl w:val="0"/>
              </w:rPr>
              <w:t xml:space="preserve">La acreditación de personal y equipos (contratistas) en la industria minera y energética chilena es un proceso crítico. Actualmente, depende de validaciones manuales de documentos legales, médicos y técnicos, lo que genera cuellos de botella operativos, propensión a errores humanos y riesgos de multas millonarias por incumplimiento normativo.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70c0"/>
                <w:sz w:val="18"/>
                <w:szCs w:val="18"/>
              </w:rPr>
            </w:pP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color w:val="0070c0"/>
                <w:sz w:val="18"/>
                <w:szCs w:val="18"/>
                <w:rtl w:val="0"/>
              </w:rPr>
              <w:t xml:space="preserve">Principalmente en el norte y centro de Chile, las que son las principales ubicaciones de las mineras.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70c0"/>
                <w:sz w:val="18"/>
                <w:szCs w:val="1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color w:val="0070c0"/>
                <w:sz w:val="18"/>
                <w:szCs w:val="18"/>
                <w:rtl w:val="0"/>
              </w:rPr>
              <w:t xml:space="preserve">El problema impacta directamente tanto a las empresas mandantes que exigen el cumplimiento, como a las empresas contratistas que pierden horas-hombre intentando habilitar a sus trabajadores.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color w:val="0070c0"/>
                <w:sz w:val="18"/>
                <w:szCs w:val="18"/>
                <w:rtl w:val="0"/>
              </w:rPr>
              <w:t xml:space="preserve">El proyecto aporta valor al mercado mediante una plataforma SaaS multi-tenant que automatiza el ciclo de revisión documental. A través del uso de un backend robusto con procesamiento asíncrono (IA para validación OCR/LLM) y un modelo de datos con seguridad a nivel de fila (RLS), Acredittia reduce los tiempos de acreditación de días a minutos, garantizando un aislamiento estricto de la información confidencial de cada empresa.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Diseñar, implementar y desplegar una arquitectura backend escalable, segura y asíncrona que automatice la gestión y validación documental para operaciones críticas del sector minero e industrial.</w:t>
            </w:r>
          </w:p>
          <w:p w:rsidR="00000000" w:rsidDel="00000000" w:rsidP="00000000" w:rsidRDefault="00000000" w:rsidRPr="00000000" w14:paraId="00000031">
            <w:pPr>
              <w:spacing w:after="240" w:before="240" w:lineRule="auto"/>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Objetivos Específicos:</w:t>
            </w:r>
          </w:p>
          <w:p w:rsidR="00000000" w:rsidDel="00000000" w:rsidP="00000000" w:rsidRDefault="00000000" w:rsidRPr="00000000" w14:paraId="00000032">
            <w:pPr>
              <w:numPr>
                <w:ilvl w:val="0"/>
                <w:numId w:val="8"/>
              </w:numPr>
              <w:spacing w:after="0" w:afterAutospacing="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Modelar e implementar el esquema relacional en PostgreSQL incorporando Row-Level Security (RLS) para garantizar el aislamiento estricto de datos entre múltiples clientes (multi-tenant).</w:t>
            </w:r>
          </w:p>
          <w:p w:rsidR="00000000" w:rsidDel="00000000" w:rsidP="00000000" w:rsidRDefault="00000000" w:rsidRPr="00000000" w14:paraId="00000033">
            <w:pPr>
              <w:numPr>
                <w:ilvl w:val="0"/>
                <w:numId w:val="8"/>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Construir y documentar una API RESTful eficiente utilizando FastAPI, estableciendo contratos de comunicación estandarizados y seguros (JWE).</w:t>
            </w:r>
          </w:p>
          <w:p w:rsidR="00000000" w:rsidDel="00000000" w:rsidP="00000000" w:rsidRDefault="00000000" w:rsidRPr="00000000" w14:paraId="00000034">
            <w:pPr>
              <w:numPr>
                <w:ilvl w:val="0"/>
                <w:numId w:val="8"/>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Integrar un motor de orquestación asíncrona (Celery y Redis) para gestionar procesos críticos en segundo plano, como la validación documental automatizada con IA.</w:t>
            </w:r>
          </w:p>
          <w:p w:rsidR="00000000" w:rsidDel="00000000" w:rsidP="00000000" w:rsidRDefault="00000000" w:rsidRPr="00000000" w14:paraId="00000035">
            <w:pPr>
              <w:numPr>
                <w:ilvl w:val="0"/>
                <w:numId w:val="8"/>
              </w:numPr>
              <w:spacing w:after="24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Desplegar el ecosistema del backend en una arquitectura de contenedores, configurando la infraestructura Cloud necesaria para asegurar la alta disponibilidad.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39">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3A">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Fundamenta, ¿por qué esta metodología era pertinente para cumplir los objetivos planteados?</w:t>
            </w:r>
          </w:p>
          <w:p w:rsidR="00000000" w:rsidDel="00000000" w:rsidP="00000000" w:rsidRDefault="00000000" w:rsidRPr="00000000" w14:paraId="0000003B">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Se utilizó el marco de trabajo ágil </w:t>
            </w:r>
            <w:r w:rsidDel="00000000" w:rsidR="00000000" w:rsidRPr="00000000">
              <w:rPr>
                <w:b w:val="1"/>
                <w:bCs w:val="1"/>
                <w:i w:val="1"/>
                <w:iCs w:val="1"/>
                <w:color w:val="0070c0"/>
                <w:sz w:val="18"/>
                <w:szCs w:val="18"/>
                <w:rtl w:val="0"/>
              </w:rPr>
              <w:t xml:space="preserve">Scrum</w:t>
            </w:r>
            <w:r w:rsidDel="00000000" w:rsidR="00000000" w:rsidRPr="00000000">
              <w:rPr>
                <w:i w:val="1"/>
                <w:iCs w:val="1"/>
                <w:color w:val="0070c0"/>
                <w:sz w:val="18"/>
                <w:szCs w:val="18"/>
                <w:rtl w:val="0"/>
              </w:rPr>
              <w:t xml:space="preserve"> bajo un modelo de </w:t>
            </w:r>
            <w:r w:rsidDel="00000000" w:rsidR="00000000" w:rsidRPr="00000000">
              <w:rPr>
                <w:b w:val="1"/>
                <w:bCs w:val="1"/>
                <w:i w:val="1"/>
                <w:iCs w:val="1"/>
                <w:color w:val="0070c0"/>
                <w:sz w:val="18"/>
                <w:szCs w:val="18"/>
                <w:rtl w:val="0"/>
              </w:rPr>
              <w:t xml:space="preserve">Desarrollo Incremental</w:t>
            </w:r>
            <w:r w:rsidDel="00000000" w:rsidR="00000000" w:rsidRPr="00000000">
              <w:rPr>
                <w:i w:val="1"/>
                <w:iCs w:val="1"/>
                <w:color w:val="0070c0"/>
                <w:sz w:val="18"/>
                <w:szCs w:val="18"/>
                <w:rtl w:val="0"/>
              </w:rPr>
              <w:t xml:space="preserve">, estructurado en Sprints de dos semanas.</w:t>
            </w:r>
          </w:p>
          <w:p w:rsidR="00000000" w:rsidDel="00000000" w:rsidP="00000000" w:rsidRDefault="00000000" w:rsidRPr="00000000" w14:paraId="0000003C">
            <w:pPr>
              <w:numPr>
                <w:ilvl w:val="0"/>
                <w:numId w:val="9"/>
              </w:numPr>
              <w:spacing w:after="0" w:afterAutospacing="0" w:before="240" w:lineRule="auto"/>
              <w:ind w:left="720" w:hanging="360"/>
              <w:rPr>
                <w:i w:val="1"/>
                <w:iCs w:val="1"/>
                <w:color w:val="0070c0"/>
                <w:sz w:val="18"/>
                <w:szCs w:val="18"/>
              </w:rPr>
            </w:pPr>
            <w:r w:rsidDel="00000000" w:rsidR="00000000" w:rsidRPr="00000000">
              <w:rPr>
                <w:i w:val="1"/>
                <w:iCs w:val="1"/>
                <w:color w:val="0070c0"/>
                <w:sz w:val="18"/>
                <w:szCs w:val="18"/>
                <w:rtl w:val="0"/>
              </w:rPr>
              <w:t xml:space="preserve">Fase 1: Levantamiento de requerimientos (IEEE 29148), diseño del esquema relacional y configuración inicial del repositorio y CI/CD.</w:t>
            </w:r>
          </w:p>
          <w:p w:rsidR="00000000" w:rsidDel="00000000" w:rsidP="00000000" w:rsidRDefault="00000000" w:rsidRPr="00000000" w14:paraId="0000003D">
            <w:pPr>
              <w:numPr>
                <w:ilvl w:val="0"/>
                <w:numId w:val="9"/>
              </w:numPr>
              <w:spacing w:after="0" w:afterAutospacing="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Fase 2: Desarrollo de los endpoints CRUD en FastAPI y conexión con PostgreSQL en Azure.</w:t>
            </w:r>
          </w:p>
          <w:p w:rsidR="00000000" w:rsidDel="00000000" w:rsidP="00000000" w:rsidRDefault="00000000" w:rsidRPr="00000000" w14:paraId="0000003E">
            <w:pPr>
              <w:numPr>
                <w:ilvl w:val="0"/>
                <w:numId w:val="9"/>
              </w:numPr>
              <w:spacing w:after="240" w:before="0" w:beforeAutospacing="0" w:lineRule="auto"/>
              <w:ind w:left="720" w:hanging="360"/>
              <w:rPr>
                <w:i w:val="1"/>
                <w:iCs w:val="1"/>
                <w:color w:val="0070c0"/>
                <w:sz w:val="18"/>
                <w:szCs w:val="18"/>
              </w:rPr>
            </w:pPr>
            <w:r w:rsidDel="00000000" w:rsidR="00000000" w:rsidRPr="00000000">
              <w:rPr>
                <w:i w:val="1"/>
                <w:iCs w:val="1"/>
                <w:color w:val="0070c0"/>
                <w:sz w:val="18"/>
                <w:szCs w:val="18"/>
                <w:rtl w:val="0"/>
              </w:rPr>
              <w:t xml:space="preserve">Fase 3: Integración de Celery/Redis para tareas en segundo plano y empaquetado en contenedores Docker.</w:t>
            </w:r>
          </w:p>
          <w:p w:rsidR="00000000" w:rsidDel="00000000" w:rsidP="00000000" w:rsidRDefault="00000000" w:rsidRPr="00000000" w14:paraId="0000003F">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El desarrollo incremental fue vital. Al construir una arquitectura compleja (multi-tenant, criptografía y workers en segundo plano), esta metodología nos permitió probar y validar módulos críticos de forma aislada (ej. probar el Row-Level Security en la base de datos) antes de acoplarlos al resto del sistema, reduciendo drásticamente el riesgo de refactorizaciones tardías.</w:t>
            </w:r>
          </w:p>
          <w:p w:rsidR="00000000" w:rsidDel="00000000" w:rsidP="00000000" w:rsidRDefault="00000000" w:rsidRPr="00000000" w14:paraId="00000040">
            <w:pPr>
              <w:ind w:left="0" w:firstLine="0"/>
              <w:rPr>
                <w:i w:val="1"/>
                <w:iCs w:val="1"/>
                <w:color w:val="0070c0"/>
                <w:sz w:val="18"/>
                <w:szCs w:val="18"/>
              </w:rPr>
            </w:pPr>
            <w:r w:rsidDel="00000000" w:rsidR="00000000" w:rsidRPr="00000000">
              <w:rPr>
                <w:rtl w:val="0"/>
              </w:rPr>
            </w:r>
          </w:p>
          <w:p w:rsidR="00000000" w:rsidDel="00000000" w:rsidP="00000000" w:rsidRDefault="00000000" w:rsidRPr="00000000" w14:paraId="00000041">
            <w:pPr>
              <w:ind w:left="0" w:firstLine="0"/>
              <w:rPr>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El proyecto abarcó desde el diseño de diagramas UML (Clases, Casos de Uso) y el Modelo Físico de Base de Datos, hasta la codificación de más de 150 endpoints de la API, finalizando con la configuración de la infraestructura y el despliegue del software.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Contar con un "Resource Pack" (código base y especificaciones entregadas por Alloxentric), dándonos una base técnica sólida que nos permitió concentrarnos en la evolución de la arquitectura y la lógica de negocio.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52">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¿Cómo abordaste las dificultades para cumplir con los objetivos? ¿Tuviste que hacer algún ajuste? ¿Qué ajuste? </w:t>
            </w:r>
          </w:p>
        </w:tc>
      </w:tr>
      <w:tr>
        <w:trPr>
          <w:cantSplit w:val="0"/>
          <w:trHeight w:val="1112" w:hRule="atLeast"/>
          <w:tblHeader w:val="0"/>
        </w:trPr>
        <w:tc>
          <w:tcPr>
            <w:vAlign w:val="center"/>
          </w:tcPr>
          <w:p w:rsidR="00000000" w:rsidDel="00000000" w:rsidP="00000000" w:rsidRDefault="00000000" w:rsidRPr="00000000" w14:paraId="0000005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55">
            <w:pPr>
              <w:ind w:left="743"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p>
          <w:p w:rsidR="00000000" w:rsidDel="00000000" w:rsidP="00000000" w:rsidRDefault="00000000" w:rsidRPr="00000000" w14:paraId="00000056">
            <w:pPr>
              <w:numPr>
                <w:ilvl w:val="0"/>
                <w:numId w:val="10"/>
              </w:numPr>
              <w:spacing w:after="0" w:afterAutospacing="0"/>
              <w:ind w:left="1440" w:hanging="360"/>
              <w:rPr>
                <w:i w:val="1"/>
                <w:iCs w:val="1"/>
                <w:color w:val="0070c0"/>
                <w:sz w:val="18"/>
                <w:szCs w:val="18"/>
                <w:u w:val="none"/>
              </w:rPr>
            </w:pPr>
            <w:r w:rsidDel="00000000" w:rsidR="00000000" w:rsidRPr="00000000">
              <w:rPr>
                <w:b w:val="1"/>
                <w:bCs w:val="1"/>
                <w:i w:val="1"/>
                <w:iCs w:val="1"/>
                <w:color w:val="0070c0"/>
                <w:sz w:val="18"/>
                <w:szCs w:val="18"/>
                <w:rtl w:val="0"/>
              </w:rPr>
              <w:t xml:space="preserve">Modelo Físico de Base de Datos: </w:t>
            </w:r>
            <w:r w:rsidDel="00000000" w:rsidR="00000000" w:rsidRPr="00000000">
              <w:rPr>
                <w:i w:val="1"/>
                <w:iCs w:val="1"/>
                <w:color w:val="0070c0"/>
                <w:sz w:val="18"/>
                <w:szCs w:val="18"/>
                <w:rtl w:val="0"/>
              </w:rPr>
              <w:t xml:space="preserve">Esquema de PostgreSQL demostrando la integridad referencial y las políticas RLS.</w:t>
            </w:r>
            <w:r w:rsidDel="00000000" w:rsidR="00000000" w:rsidRPr="00000000">
              <w:rPr>
                <w:rtl w:val="0"/>
              </w:rPr>
            </w:r>
          </w:p>
          <w:p w:rsidR="00000000" w:rsidDel="00000000" w:rsidP="00000000" w:rsidRDefault="00000000" w:rsidRPr="00000000" w14:paraId="00000057">
            <w:pPr>
              <w:numPr>
                <w:ilvl w:val="0"/>
                <w:numId w:val="10"/>
              </w:numPr>
              <w:spacing w:after="0" w:afterAutospacing="0"/>
              <w:ind w:left="1440" w:hanging="360"/>
              <w:rPr>
                <w:i w:val="1"/>
                <w:iCs w:val="1"/>
                <w:color w:val="0070c0"/>
                <w:sz w:val="18"/>
                <w:szCs w:val="18"/>
              </w:rPr>
            </w:pPr>
            <w:r w:rsidDel="00000000" w:rsidR="00000000" w:rsidRPr="00000000">
              <w:rPr>
                <w:b w:val="1"/>
                <w:bCs w:val="1"/>
                <w:i w:val="1"/>
                <w:iCs w:val="1"/>
                <w:color w:val="0070c0"/>
                <w:sz w:val="18"/>
                <w:szCs w:val="18"/>
                <w:rtl w:val="0"/>
              </w:rPr>
              <w:t xml:space="preserve">Diagramas UML de Arquitectura:</w:t>
            </w:r>
            <w:r w:rsidDel="00000000" w:rsidR="00000000" w:rsidRPr="00000000">
              <w:rPr>
                <w:i w:val="1"/>
                <w:iCs w:val="1"/>
                <w:color w:val="0070c0"/>
                <w:sz w:val="18"/>
                <w:szCs w:val="18"/>
                <w:rtl w:val="0"/>
              </w:rPr>
              <w:t xml:space="preserve"> Clases y Actividades que sustentan el diseño del código.</w:t>
            </w:r>
          </w:p>
          <w:p w:rsidR="00000000" w:rsidDel="00000000" w:rsidP="00000000" w:rsidRDefault="00000000" w:rsidRPr="00000000" w14:paraId="00000058">
            <w:pPr>
              <w:numPr>
                <w:ilvl w:val="0"/>
                <w:numId w:val="10"/>
              </w:numPr>
              <w:spacing w:after="0" w:afterAutospacing="0" w:before="0" w:beforeAutospacing="0" w:lineRule="auto"/>
              <w:ind w:left="1440" w:hanging="360"/>
              <w:rPr>
                <w:i w:val="1"/>
                <w:iCs w:val="1"/>
                <w:color w:val="0070c0"/>
                <w:sz w:val="18"/>
                <w:szCs w:val="18"/>
                <w:u w:val="none"/>
              </w:rPr>
            </w:pPr>
            <w:r w:rsidDel="00000000" w:rsidR="00000000" w:rsidRPr="00000000">
              <w:rPr>
                <w:b w:val="1"/>
                <w:bCs w:val="1"/>
                <w:i w:val="1"/>
                <w:iCs w:val="1"/>
                <w:color w:val="0070c0"/>
                <w:sz w:val="18"/>
                <w:szCs w:val="18"/>
                <w:rtl w:val="0"/>
              </w:rPr>
              <w:t xml:space="preserve">Repositorio de Código (GitHub):</w:t>
            </w:r>
            <w:r w:rsidDel="00000000" w:rsidR="00000000" w:rsidRPr="00000000">
              <w:rPr>
                <w:i w:val="1"/>
                <w:iCs w:val="1"/>
                <w:color w:val="0070c0"/>
                <w:sz w:val="18"/>
                <w:szCs w:val="18"/>
                <w:rtl w:val="0"/>
              </w:rPr>
              <w:t xml:space="preserve"> Evidencia del control de versiones, trabajo colaborativo mediante Pull Requests y el empaquetado final en Dockerfiles.</w:t>
            </w:r>
          </w:p>
          <w:p w:rsidR="00000000" w:rsidDel="00000000" w:rsidP="00000000" w:rsidRDefault="00000000" w:rsidRPr="00000000" w14:paraId="00000059">
            <w:pPr>
              <w:numPr>
                <w:ilvl w:val="0"/>
                <w:numId w:val="10"/>
              </w:numPr>
              <w:ind w:left="1440" w:hanging="360"/>
              <w:rPr>
                <w:i w:val="1"/>
                <w:iCs w:val="1"/>
                <w:color w:val="0070c0"/>
                <w:sz w:val="18"/>
                <w:szCs w:val="18"/>
                <w:u w:val="none"/>
              </w:rPr>
            </w:pPr>
            <w:r w:rsidDel="00000000" w:rsidR="00000000" w:rsidRPr="00000000">
              <w:rPr>
                <w:rtl w:val="0"/>
              </w:rPr>
            </w:r>
          </w:p>
          <w:p w:rsidR="00000000" w:rsidDel="00000000" w:rsidP="00000000" w:rsidRDefault="00000000" w:rsidRPr="00000000" w14:paraId="0000005A">
            <w:pPr>
              <w:ind w:left="743" w:firstLine="0"/>
              <w:rPr>
                <w:i w:val="1"/>
                <w:iCs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Al inicio de la asignatura, mi interés principal era "escribir código" en lenguajes como Python. Sin embargo, este Proyecto APT redefinió mi visión profesional. Enfrentarme al problema real de la infraestructura me enseñó que un backend robusto carece de valor si no corre sobre la arquitectura adecuada. El proyecto me obligó a evolucionar de un "programador de funciones" a un desarrollador backend con visión de infraestructura y despliegue.</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A partir de este proyecto, mis intereses profesionales se han expandido hacia la </w:t>
            </w:r>
            <w:r w:rsidDel="00000000" w:rsidR="00000000" w:rsidRPr="00000000">
              <w:rPr>
                <w:b w:val="1"/>
                <w:bCs w:val="1"/>
                <w:i w:val="1"/>
                <w:iCs w:val="1"/>
                <w:color w:val="0070c0"/>
                <w:sz w:val="18"/>
                <w:szCs w:val="18"/>
                <w:rtl w:val="0"/>
              </w:rPr>
              <w:t xml:space="preserve">Arquitectura Cloud y la cultura DevOps</w:t>
            </w:r>
            <w:r w:rsidDel="00000000" w:rsidR="00000000" w:rsidRPr="00000000">
              <w:rPr>
                <w:i w:val="1"/>
                <w:iCs w:val="1"/>
                <w:color w:val="0070c0"/>
                <w:sz w:val="18"/>
                <w:szCs w:val="18"/>
                <w:rtl w:val="0"/>
              </w:rPr>
              <w:t xml:space="preserve">. Laboralmente, me proyecto trabajando como Ingeniero Backend en ecosistemas distribuidos, profundizando en tecnologías de orquestación (Docker/Kubernetes), bases de datos de alta concurrencia y servicios en la nube (Azure/AWS). Quiero especializarme en construir el "motor invisible" que soporta sistemas empresariales críticos. </w:t>
            </w:r>
          </w:p>
        </w:tc>
      </w:tr>
    </w:tbl>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D+XkTkWHmrUKyLzBiTlWwJt4ig==">CgMxLjA4AHIhMU9iaDRSdlJTUHE5dW9QS09aMEhSVVNPNFlJeGxnNks1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