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50"/>
          <w:szCs w:val="50"/>
          <w:rtl w:val="0"/>
        </w:rPr>
        <w:t xml:space="preserve">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0" w:firstLine="0"/>
        <w:jc w:val="center"/>
        <w:rPr/>
      </w:pPr>
      <w:bookmarkStart w:colFirst="0" w:colLast="0" w:name="_gkequu1278p5" w:id="0"/>
      <w:bookmarkEnd w:id="0"/>
      <w:r w:rsidDel="00000000" w:rsidR="00000000" w:rsidRPr="00000000">
        <w:rPr>
          <w:rtl w:val="0"/>
        </w:rPr>
        <w:t xml:space="preserve">Sprint 3: Funcionalidad Core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Fechas: 3 de octubre - 17 de octubre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Información básica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Sprint goal: Implementar sistema de chat completo con voz, historial e ingesta de documentos institucionales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kscsyaq0w1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HISTORIAS DE USUARIOS RELACIONADAS: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H01: Respuesta en menos de 5 segundos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H03: Respuestas claras y precisas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H04: Voz con pausas naturales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H11: Interacción por voz para accesibilidad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t8d7g8aa4cx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TAREAS TÉCNICAS: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Implementación de página la página del lobby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chat con historial de consultas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Web Speech API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Síntesis de voz básica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Ingesta de documentos .PDF/.DOC para la base de conocimiento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base vectorial inicial (embeddings)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de integración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40pftt7ifa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Página lobby con navegación completamente funcional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de chat envía y recibe mensajes correctamente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Reconocimiento de voz funciona con 80% de precisión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Base de conocimientos cargada con 50+ documentos institucionales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