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50"/>
          <w:szCs w:val="50"/>
          <w:rtl w:val="0"/>
        </w:rPr>
        <w:t xml:space="preserve">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umfy5wnw8cw0" w:id="0"/>
      <w:bookmarkEnd w:id="0"/>
      <w:r w:rsidDel="00000000" w:rsidR="00000000" w:rsidRPr="00000000">
        <w:rPr>
          <w:rtl w:val="0"/>
        </w:rPr>
        <w:t xml:space="preserve">Sprint 4: Accesibilidad y Multilenguaje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Fechas: 17 de octubre - 31 de octubre 2025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Información básica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Sprint goal: Implementar sistema RAG avanzado, multilingüismo completo y funciones de accesibilidad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scsyaq0w1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HISTORIAS DE USUARIOS RELACIONADAS: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H02: Interfaz intuitiva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H05: Multilingüe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H11: Accesibilidad por voz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t8d7g8aa4c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TAREAS TÉCNICAS: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Implementación de ChromaDB para RAG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embeddings y búsqueda semántica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Selector de idioma en interfaz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Traducción completa de interfaz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botón de accesibilidad con ajustes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alto contraste y ajuste de tamaño de texto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usabilidad con usuarios reales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ybhpva77pu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RAG responde con fuentes verificables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Cambio de idioma afecta interfaz completa correctamente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Modo accesibilidad funciona según especificaciones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Pruebas de usabilidad realizadas con feedback positivo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