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sz w:val="50"/>
          <w:szCs w:val="50"/>
          <w:rtl w:val="0"/>
        </w:rPr>
        <w:t xml:space="preserve">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wchnbnxaqegi" w:id="0"/>
      <w:bookmarkEnd w:id="0"/>
      <w:r w:rsidDel="00000000" w:rsidR="00000000" w:rsidRPr="00000000">
        <w:rPr>
          <w:rtl w:val="0"/>
        </w:rPr>
        <w:t xml:space="preserve">Sprint 2: Setup Técnico básico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Fechas: 19 de septiembre - 3 de octubre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Información básica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Sprint goal: Implementar la base técnica funcional con back-end, front-end y IA básica integrados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kscsyaq0w1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HISTORIAS DE USUARIOS RELACIONADAS: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hay historias de usuario relacionado a este sprint ya que el sprint 2 corresponde al funcionamiento técnico (FastAPI, Docker, front-end básico)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t8d7g8aa4c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TAREAS TÉCNICAS: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Configuración de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 con endpoints básicos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Docker para back-end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de React, TypeScript y Vite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 Tailwind CSS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y configuración de Ollama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 API para consultas de la IA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básica de front-end &amp; back-end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yev2somyqx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Backend responde correctamente en localhost:8000/docs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Frontend básico funciona en localhost:3000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IA responde a consultas simples mediante API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Demostración funcionando aprobada por coordinadores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