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o2t2a57mg8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Sprint review y retrospectiva 2</w:t>
      </w:r>
    </w:p>
    <w:p w:rsidR="00000000" w:rsidDel="00000000" w:rsidP="00000000" w:rsidRDefault="00000000" w:rsidRPr="00000000" w14:paraId="0000000C">
      <w:pPr>
        <w:jc w:val="center"/>
        <w:rPr>
          <w:rFonts w:ascii="Arial Narrow" w:cs="Arial Narrow" w:eastAsia="Arial Narrow" w:hAnsi="Arial Narrow"/>
          <w:b w:val="1"/>
          <w:bCs w:val="1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Asistente Virtual “InA”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Fecha: 03/10/2025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 Narrow" w:cs="Arial Narrow" w:eastAsia="Arial Narrow" w:hAnsi="Arial Narrow"/>
          <w:b w:val="1"/>
          <w:bCs w:val="1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Integrantes: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 Narrow" w:cs="Arial Narrow" w:eastAsia="Arial Narrow" w:hAnsi="Arial Narrow"/>
          <w:sz w:val="40"/>
          <w:szCs w:val="40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highlight w:val="white"/>
          <w:rtl w:val="0"/>
        </w:rPr>
        <w:t xml:space="preserve">-Jorge Arias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highlight w:val="white"/>
          <w:rtl w:val="0"/>
        </w:rPr>
        <w:t xml:space="preserve">-Diego Pinto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Sección:</w:t>
      </w: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 006D</w:t>
      </w:r>
    </w:p>
    <w:p w:rsidR="00000000" w:rsidDel="00000000" w:rsidP="00000000" w:rsidRDefault="00000000" w:rsidRPr="00000000" w14:paraId="00000014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Profesor:</w:t>
      </w: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 Juan Alberto Gana Reyes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pStyle w:val="Heading1"/>
        <w:rPr>
          <w:rFonts w:ascii="Arial Narrow" w:cs="Arial Narrow" w:eastAsia="Arial Narrow" w:hAnsi="Arial Narrow"/>
          <w:sz w:val="24"/>
          <w:szCs w:val="24"/>
        </w:rPr>
      </w:pPr>
      <w:bookmarkStart w:colFirst="0" w:colLast="0" w:name="_4doed4q8sz3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88sy7gssijyc" w:id="2"/>
      <w:bookmarkEnd w:id="2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SPRINT REVIEW - Sprint 2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Fecha: 3 de octubre de 2025</w:t>
        <w:br w:type="textWrapping"/>
        <w:t xml:space="preserve">Asistentes: Jorge, Diego, Stakeholder Duoc UC 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Demostración: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Backend vivo: Se mostró </w:t>
      </w:r>
      <w:r w:rsidDel="00000000" w:rsidR="00000000" w:rsidRPr="00000000">
        <w:rPr>
          <w:rFonts w:ascii="Arial Narrow" w:cs="Arial Narrow" w:eastAsia="Arial Narrow" w:hAnsi="Arial Narrow"/>
          <w:color w:val="0f1115"/>
          <w:sz w:val="21"/>
          <w:szCs w:val="21"/>
          <w:shd w:fill="ebeef2" w:val="clear"/>
          <w:rtl w:val="0"/>
        </w:rPr>
        <w:t xml:space="preserve">localhost:8000/docs</w:t>
      </w: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 (Swagger UI de FastAPI) con endpoints operativos.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Frontend básico: Se abrió </w:t>
      </w:r>
      <w:r w:rsidDel="00000000" w:rsidR="00000000" w:rsidRPr="00000000">
        <w:rPr>
          <w:rFonts w:ascii="Arial Narrow" w:cs="Arial Narrow" w:eastAsia="Arial Narrow" w:hAnsi="Arial Narrow"/>
          <w:color w:val="0f1115"/>
          <w:sz w:val="21"/>
          <w:szCs w:val="21"/>
          <w:shd w:fill="ebeef2" w:val="clear"/>
          <w:rtl w:val="0"/>
        </w:rPr>
        <w:t xml:space="preserve">localhost:3000</w:t>
      </w: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 con una interfaz React simple, estilizada con Tailwind CSS.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IA integrada: Desde la interfaz, se envió la consulta "¿Qué es Duoc UC?" y se mostró en pantalla la respuesta generada por el modelo Llama a través de Ollama.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Infraestructura: Se explicó la contenerización con Docker y la arquitectura cliente-servidor desplegada localmente.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Feedback Recibido (Stakeholder Duoc UC):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"La base técnica es sólida y bien estructurada. El hecho de que la IA corra localmente es una gran ventaja para la seguridad."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"La interfaz es minimalista pero funcional. Para el siguiente sprint, esperamos ver más elementos de la identidad visual."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Pregunta: "¿La demostración actual maneja ya datos institucionales reales de Duoc?"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Decisiones y Acuerdos: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Aclarado: Se explicó que la IA aún está en su configuración base (modelo general). El Sprint 3 se dedicará a la ingesta de documentos institucionales reales (PDFs, reglamentos) para entrenar el modelo con conocimiento específico de Duoc.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Prioridad confirmada: El stakeholder validó que la prioridad del Sprint 3 (chat con voz + documentos Duoc) es la correcta.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Siguientes pasos: Se autoriza el inicio del Sprint 3 con el objetivo de tener un asistente que conozca de Duoc UC y sea accesible por voz.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Métrica de Satisfacción: 4.2 / 5.0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RETROSPECTIVA - Sprint 2 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Bien: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Docker y Ollama quedaron bien configurados.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La demo final funcionó sin errores.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Mejorar: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Los conflictos de puertos nos retrasaron.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La estimación para la integración fue justa (no hubo buffer).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Compromiso S3: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Crear un script de configuración de puertos para nuevos entornos.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Asignar 1 hora extra a tareas de integración en estimaciones.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-190499</wp:posOffset>
          </wp:positionV>
          <wp:extent cx="1856509" cy="436924"/>
          <wp:effectExtent b="0" l="0" r="0" t="0"/>
          <wp:wrapSquare wrapText="bothSides" distB="0" distT="0" distL="114300" distR="114300"/>
          <wp:docPr descr="Código QR&#10;&#10;Descripción generada automáticamente" id="1" name="image1.png"/>
          <a:graphic>
            <a:graphicData uri="http://schemas.openxmlformats.org/drawingml/2006/picture">
              <pic:pic>
                <pic:nvPicPr>
                  <pic:cNvPr descr="Código QR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