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77C7" w14:textId="77777777" w:rsidR="0017031E" w:rsidRPr="0017031E" w:rsidRDefault="0017031E" w:rsidP="0017031E">
      <w:r w:rsidRPr="0017031E">
        <w:t xml:space="preserve">Una aclaración para leer los resultados: cuando </w:t>
      </w:r>
      <w:proofErr w:type="spellStart"/>
      <w:r w:rsidRPr="0017031E">
        <w:t>score_minimo_modelo</w:t>
      </w:r>
      <w:proofErr w:type="spellEnd"/>
      <w:r w:rsidRPr="0017031E">
        <w:t xml:space="preserve"> = 0 o alguna antigüedad vale 0, no significa score real cero; en tu ingeniería significa </w:t>
      </w:r>
      <w:r w:rsidRPr="0017031E">
        <w:rPr>
          <w:b/>
          <w:bCs/>
        </w:rPr>
        <w:t>“la tarjeta no exige ese requisito”</w:t>
      </w:r>
      <w:r w:rsidRPr="0017031E">
        <w:t>.</w:t>
      </w:r>
    </w:p>
    <w:p w14:paraId="057CC15F" w14:textId="36ACA4FD" w:rsidR="0017031E" w:rsidRPr="0017031E" w:rsidRDefault="0017031E" w:rsidP="0017031E">
      <w:pPr>
        <w:pStyle w:val="Ttulo2"/>
      </w:pPr>
      <w:r w:rsidRPr="0017031E">
        <w:t>Cluster 0 —</w:t>
      </w:r>
      <w:r>
        <w:t xml:space="preserve"> “”</w:t>
      </w:r>
      <w:r w:rsidRPr="0017031E">
        <w:t xml:space="preserve"> Requisitos exigentes con descuentos y coberturas amplias</w:t>
      </w:r>
    </w:p>
    <w:p w14:paraId="1E131635" w14:textId="77777777" w:rsidR="0017031E" w:rsidRPr="0017031E" w:rsidRDefault="0017031E" w:rsidP="0017031E">
      <w:r w:rsidRPr="0017031E">
        <w:rPr>
          <w:b/>
          <w:bCs/>
        </w:rPr>
        <w:t>Tamaño: 10 tarjetas.</w:t>
      </w:r>
      <w:r w:rsidRPr="0017031E">
        <w:t xml:space="preserve"> El 80% son BBVA México; las otras dos son Súper Créditos Inbursa y Scotia Básica.</w:t>
      </w:r>
    </w:p>
    <w:p w14:paraId="5D47A7AC" w14:textId="77777777" w:rsidR="0017031E" w:rsidRPr="0017031E" w:rsidRDefault="0017031E" w:rsidP="0017031E">
      <w:r w:rsidRPr="0017031E">
        <w:t xml:space="preserve">Este grupo tiene un perfil financiero relativamente costoso. Su </w:t>
      </w:r>
      <w:r w:rsidRPr="0017031E">
        <w:rPr>
          <w:b/>
          <w:bCs/>
        </w:rPr>
        <w:t>CAT promedio es 79.87%</w:t>
      </w:r>
      <w:r w:rsidRPr="0017031E">
        <w:t xml:space="preserve">, segundo más alto de los seis </w:t>
      </w:r>
      <w:proofErr w:type="spellStart"/>
      <w:r w:rsidRPr="0017031E">
        <w:t>clusters</w:t>
      </w:r>
      <w:proofErr w:type="spellEnd"/>
      <w:r w:rsidRPr="0017031E">
        <w:t xml:space="preserve"> después del </w:t>
      </w:r>
      <w:proofErr w:type="spellStart"/>
      <w:r w:rsidRPr="0017031E">
        <w:t>cluster</w:t>
      </w:r>
      <w:proofErr w:type="spellEnd"/>
      <w:r w:rsidRPr="0017031E">
        <w:t xml:space="preserve"> 3. Sin embargo, el rango es muy amplio: </w:t>
      </w:r>
      <w:r w:rsidRPr="0017031E">
        <w:rPr>
          <w:b/>
          <w:bCs/>
        </w:rPr>
        <w:t>49.4% a 113.7%</w:t>
      </w:r>
      <w:r w:rsidRPr="0017031E">
        <w:t xml:space="preserve">, con mediana de 80.65%. Lo mismo ocurre con la tasa: </w:t>
      </w:r>
      <w:r w:rsidRPr="0017031E">
        <w:rPr>
          <w:b/>
          <w:bCs/>
        </w:rPr>
        <w:t>58.76% promedio</w:t>
      </w:r>
      <w:r w:rsidRPr="0017031E">
        <w:t xml:space="preserve">, rango </w:t>
      </w:r>
      <w:r w:rsidRPr="0017031E">
        <w:rPr>
          <w:b/>
          <w:bCs/>
        </w:rPr>
        <w:t>36.8%–85.2%</w:t>
      </w:r>
      <w:r w:rsidRPr="0017031E">
        <w:t>, mediana 58.8%. Por tanto, decir “CAT y tasa altos” significa concretamente que el centro del grupo está cerca de 80% de CAT y 59% de tasa, aunque contiene tanto una Platinum BBVA relativamente barata como una Scotia Básica extremadamente costosa.</w:t>
      </w:r>
    </w:p>
    <w:p w14:paraId="20F86912" w14:textId="77777777" w:rsidR="0017031E" w:rsidRPr="0017031E" w:rsidRDefault="0017031E" w:rsidP="0017031E">
      <w:r w:rsidRPr="0017031E">
        <w:t xml:space="preserve">La </w:t>
      </w:r>
      <w:r w:rsidRPr="0017031E">
        <w:rPr>
          <w:b/>
          <w:bCs/>
        </w:rPr>
        <w:t>anualidad promedio es $937</w:t>
      </w:r>
      <w:r w:rsidRPr="0017031E">
        <w:t xml:space="preserve">, mediana $748, con rango </w:t>
      </w:r>
      <w:r w:rsidRPr="0017031E">
        <w:rPr>
          <w:b/>
          <w:bCs/>
        </w:rPr>
        <w:t>$0–$2,579</w:t>
      </w:r>
      <w:r w:rsidRPr="0017031E">
        <w:t>. La línea inicial promedio es $13,000, pero la mediana es solo $5,000 y el rango va de $3,000 a $50,000; Platinum BBVA empuja considerablemente el promedio hacia arriba.</w:t>
      </w:r>
    </w:p>
    <w:p w14:paraId="74E3AD7B" w14:textId="77777777" w:rsidR="0017031E" w:rsidRPr="0017031E" w:rsidRDefault="0017031E" w:rsidP="0017031E">
      <w:r w:rsidRPr="0017031E">
        <w:t xml:space="preserve">Lo que realmente define este </w:t>
      </w:r>
      <w:proofErr w:type="spellStart"/>
      <w:r w:rsidRPr="0017031E">
        <w:t>cluster</w:t>
      </w:r>
      <w:proofErr w:type="spellEnd"/>
      <w:r w:rsidRPr="0017031E">
        <w:t xml:space="preserve"> son los </w:t>
      </w:r>
      <w:r w:rsidRPr="0017031E">
        <w:rPr>
          <w:b/>
          <w:bCs/>
        </w:rPr>
        <w:t>requisitos</w:t>
      </w:r>
      <w:r w:rsidRPr="0017031E">
        <w:t xml:space="preserve">. El score promedio exigido es </w:t>
      </w:r>
      <w:r w:rsidRPr="0017031E">
        <w:rPr>
          <w:b/>
          <w:bCs/>
        </w:rPr>
        <w:t>690.5</w:t>
      </w:r>
      <w:r w:rsidRPr="0017031E">
        <w:t xml:space="preserve">, rango 615–700 y mediana 700; además, </w:t>
      </w:r>
      <w:r w:rsidRPr="0017031E">
        <w:rPr>
          <w:b/>
          <w:bCs/>
        </w:rPr>
        <w:t>las 10 tarjetas exigen score</w:t>
      </w:r>
      <w:r w:rsidRPr="0017031E">
        <w:t xml:space="preserve">. La antigüedad laboral mínima vale </w:t>
      </w:r>
      <w:r w:rsidRPr="0017031E">
        <w:rPr>
          <w:b/>
          <w:bCs/>
        </w:rPr>
        <w:t>12 en las 10 tarjetas</w:t>
      </w:r>
      <w:r w:rsidRPr="0017031E">
        <w:t xml:space="preserve"> y nueve de diez exigen también antigüedad residencial, cuyo promedio es 9.9 y máximo 12. En el Top 30 del modelo, la antigüedad residencial está </w:t>
      </w:r>
      <w:r w:rsidRPr="0017031E">
        <w:rPr>
          <w:b/>
          <w:bCs/>
        </w:rPr>
        <w:t>+2.03 desviaciones estándar</w:t>
      </w:r>
      <w:r w:rsidRPr="0017031E">
        <w:t xml:space="preserve"> sobre el promedio global y la laboral +1.51σ.</w:t>
      </w:r>
    </w:p>
    <w:p w14:paraId="5D832EA2" w14:textId="77777777" w:rsidR="0017031E" w:rsidRPr="0017031E" w:rsidRDefault="0017031E" w:rsidP="0017031E">
      <w:r w:rsidRPr="0017031E">
        <w:t xml:space="preserve">En beneficios también está claramente diferenciado. Tiene en promedio </w:t>
      </w:r>
      <w:r w:rsidRPr="0017031E">
        <w:rPr>
          <w:b/>
          <w:bCs/>
        </w:rPr>
        <w:t>3.3 tipos de beneficio</w:t>
      </w:r>
      <w:r w:rsidRPr="0017031E">
        <w:t xml:space="preserve"> por tarjeta, rango 2–4. Los descuentos cubren en promedio </w:t>
      </w:r>
      <w:r w:rsidRPr="0017031E">
        <w:rPr>
          <w:b/>
          <w:bCs/>
        </w:rPr>
        <w:t>4.1 categorías de viaje</w:t>
      </w:r>
      <w:r w:rsidRPr="0017031E">
        <w:t xml:space="preserve"> y 3.5 categorías de consumo; el 80% presenta descuento en transporte terrestre. El 40% incluye seguro de equipaje. Los puntos están orientados al gasto en pesos: </w:t>
      </w:r>
      <w:proofErr w:type="spellStart"/>
      <w:r w:rsidRPr="0017031E">
        <w:t>benef_puntos_por_peso_max</w:t>
      </w:r>
      <w:proofErr w:type="spellEnd"/>
      <w:r w:rsidRPr="0017031E">
        <w:t xml:space="preserve"> promedia 0.081 y llega a 0.11. En contraste, los puntos por dólar son cero en todo el grupo.</w:t>
      </w:r>
    </w:p>
    <w:p w14:paraId="0CA0ECDF" w14:textId="77777777" w:rsidR="0017031E" w:rsidRPr="0017031E" w:rsidRDefault="0017031E" w:rsidP="0017031E">
      <w:r w:rsidRPr="0017031E">
        <w:t>Matemáticamente, algunas de sus señales más fuertes son:</w:t>
      </w:r>
    </w:p>
    <w:p w14:paraId="14ABEFB2" w14:textId="77777777" w:rsidR="0017031E" w:rsidRPr="0017031E" w:rsidRDefault="0017031E" w:rsidP="0017031E">
      <w:pPr>
        <w:numPr>
          <w:ilvl w:val="0"/>
          <w:numId w:val="1"/>
        </w:numPr>
      </w:pPr>
      <w:r w:rsidRPr="0017031E">
        <w:t xml:space="preserve">descuento en transporte terrestre: </w:t>
      </w:r>
      <w:r w:rsidRPr="0017031E">
        <w:rPr>
          <w:b/>
          <w:bCs/>
        </w:rPr>
        <w:t>+2.14σ</w:t>
      </w:r>
      <w:r w:rsidRPr="0017031E">
        <w:t>;</w:t>
      </w:r>
    </w:p>
    <w:p w14:paraId="23173A7C" w14:textId="77777777" w:rsidR="0017031E" w:rsidRPr="0017031E" w:rsidRDefault="0017031E" w:rsidP="0017031E">
      <w:pPr>
        <w:numPr>
          <w:ilvl w:val="0"/>
          <w:numId w:val="1"/>
        </w:numPr>
      </w:pPr>
      <w:r w:rsidRPr="0017031E">
        <w:t xml:space="preserve">antigüedad residencial: </w:t>
      </w:r>
      <w:r w:rsidRPr="0017031E">
        <w:rPr>
          <w:b/>
          <w:bCs/>
        </w:rPr>
        <w:t>+2.03σ</w:t>
      </w:r>
      <w:r w:rsidRPr="0017031E">
        <w:t>;</w:t>
      </w:r>
    </w:p>
    <w:p w14:paraId="4D2B7113" w14:textId="77777777" w:rsidR="0017031E" w:rsidRPr="0017031E" w:rsidRDefault="0017031E" w:rsidP="0017031E">
      <w:pPr>
        <w:numPr>
          <w:ilvl w:val="0"/>
          <w:numId w:val="1"/>
        </w:numPr>
      </w:pPr>
      <w:r w:rsidRPr="0017031E">
        <w:t xml:space="preserve">antigüedad laboral: </w:t>
      </w:r>
      <w:r w:rsidRPr="0017031E">
        <w:rPr>
          <w:b/>
          <w:bCs/>
        </w:rPr>
        <w:t>+1.51σ</w:t>
      </w:r>
      <w:r w:rsidRPr="0017031E">
        <w:t>;</w:t>
      </w:r>
    </w:p>
    <w:p w14:paraId="169DD16D" w14:textId="77777777" w:rsidR="0017031E" w:rsidRPr="0017031E" w:rsidRDefault="0017031E" w:rsidP="0017031E">
      <w:pPr>
        <w:numPr>
          <w:ilvl w:val="0"/>
          <w:numId w:val="1"/>
        </w:numPr>
      </w:pPr>
      <w:r w:rsidRPr="0017031E">
        <w:lastRenderedPageBreak/>
        <w:t xml:space="preserve">amplitud de descuentos de viaje: </w:t>
      </w:r>
      <w:r w:rsidRPr="0017031E">
        <w:rPr>
          <w:b/>
          <w:bCs/>
        </w:rPr>
        <w:t>+1.51σ</w:t>
      </w:r>
      <w:r w:rsidRPr="0017031E">
        <w:t>;</w:t>
      </w:r>
    </w:p>
    <w:p w14:paraId="3F780F2D" w14:textId="77777777" w:rsidR="0017031E" w:rsidRPr="0017031E" w:rsidRDefault="0017031E" w:rsidP="0017031E">
      <w:pPr>
        <w:numPr>
          <w:ilvl w:val="0"/>
          <w:numId w:val="1"/>
        </w:numPr>
      </w:pPr>
      <w:r w:rsidRPr="0017031E">
        <w:t xml:space="preserve">comisión por falta de pago: </w:t>
      </w:r>
      <w:r w:rsidRPr="0017031E">
        <w:rPr>
          <w:b/>
          <w:bCs/>
        </w:rPr>
        <w:t>−1.06σ</w:t>
      </w:r>
      <w:r w:rsidRPr="0017031E">
        <w:t xml:space="preserve"> respecto al promedio global.</w:t>
      </w:r>
    </w:p>
    <w:p w14:paraId="7BEAFD3F" w14:textId="77777777" w:rsidR="0017031E" w:rsidRPr="0017031E" w:rsidRDefault="0017031E" w:rsidP="0017031E">
      <w:r w:rsidRPr="0017031E">
        <w:rPr>
          <w:b/>
          <w:bCs/>
        </w:rPr>
        <w:t>Tarjetas periféricas.</w:t>
      </w:r>
      <w:r w:rsidRPr="0017031E">
        <w:t xml:space="preserve"> La más alejada del centro del </w:t>
      </w:r>
      <w:proofErr w:type="spellStart"/>
      <w:r w:rsidRPr="0017031E">
        <w:t>cluster</w:t>
      </w:r>
      <w:proofErr w:type="spellEnd"/>
      <w:r w:rsidRPr="0017031E">
        <w:t xml:space="preserve"> es </w:t>
      </w:r>
      <w:r w:rsidRPr="0017031E">
        <w:rPr>
          <w:b/>
          <w:bCs/>
        </w:rPr>
        <w:t>Scotia Básica</w:t>
      </w:r>
      <w:r w:rsidRPr="0017031E">
        <w:t xml:space="preserve">. Es una excepción muy importante: tiene </w:t>
      </w:r>
      <w:r w:rsidRPr="0017031E">
        <w:rPr>
          <w:b/>
          <w:bCs/>
        </w:rPr>
        <w:t>$0 de anualidad</w:t>
      </w:r>
      <w:r w:rsidRPr="0017031E">
        <w:t xml:space="preserve">, mientras el grupo promedia $937, y al mismo tiempo presenta el CAT máximo del </w:t>
      </w:r>
      <w:proofErr w:type="spellStart"/>
      <w:r w:rsidRPr="0017031E">
        <w:t>cluster</w:t>
      </w:r>
      <w:proofErr w:type="spellEnd"/>
      <w:r w:rsidRPr="0017031E">
        <w:t xml:space="preserve">, 113.7%, y la tasa máxima, 85.2%. Está en este grupo porque comparte buena parte de la estructura de requisitos y beneficios, no porque su estructura de costo sea típica. También es relativamente periférica </w:t>
      </w:r>
      <w:r w:rsidRPr="0017031E">
        <w:rPr>
          <w:b/>
          <w:bCs/>
        </w:rPr>
        <w:t>Tarjeta Afinidad UNAM BBVA</w:t>
      </w:r>
      <w:r w:rsidRPr="0017031E">
        <w:t xml:space="preserve">, sobre todo por sus seguros, y </w:t>
      </w:r>
      <w:r w:rsidRPr="0017031E">
        <w:rPr>
          <w:b/>
          <w:bCs/>
        </w:rPr>
        <w:t>Súper Créditos Inbursa</w:t>
      </w:r>
      <w:r w:rsidRPr="0017031E">
        <w:t>, que rompe parcialmente el patrón BBVA.</w:t>
      </w:r>
    </w:p>
    <w:p w14:paraId="01025A2B" w14:textId="77777777" w:rsidR="0017031E" w:rsidRPr="0017031E" w:rsidRDefault="0017031E" w:rsidP="0017031E">
      <w:r w:rsidRPr="0017031E">
        <w:rPr>
          <w:b/>
          <w:bCs/>
        </w:rPr>
        <w:t>Interpretación:</w:t>
      </w:r>
      <w:r w:rsidRPr="0017031E">
        <w:t xml:space="preserve"> tarjetas con </w:t>
      </w:r>
      <w:r w:rsidRPr="0017031E">
        <w:rPr>
          <w:b/>
          <w:bCs/>
        </w:rPr>
        <w:t>elegibilidad más exigente</w:t>
      </w:r>
      <w:r w:rsidRPr="0017031E">
        <w:t>, descuentos relativamente amplios y algunas coberturas, a cambio de un costo financiero normalmente elevado.</w:t>
      </w:r>
    </w:p>
    <w:p w14:paraId="5249D5E6" w14:textId="77777777" w:rsidR="0017031E" w:rsidRPr="0017031E" w:rsidRDefault="0017031E" w:rsidP="0017031E">
      <w:r w:rsidRPr="0017031E">
        <w:pict w14:anchorId="6A76D88A">
          <v:rect id="_x0000_i1061" style="width:0;height:1.5pt" o:hralign="center" o:hrstd="t" o:hr="t" fillcolor="#a0a0a0" stroked="f"/>
        </w:pict>
      </w:r>
    </w:p>
    <w:p w14:paraId="759FADD2" w14:textId="77777777" w:rsidR="0017031E" w:rsidRPr="0017031E" w:rsidRDefault="0017031E" w:rsidP="0017031E">
      <w:pPr>
        <w:pStyle w:val="Ttulo2"/>
      </w:pPr>
      <w:r w:rsidRPr="0017031E">
        <w:t>Cluster 1 — Costo fijo bajo y beneficios moderados</w:t>
      </w:r>
    </w:p>
    <w:p w14:paraId="09DC51B8" w14:textId="77777777" w:rsidR="0017031E" w:rsidRPr="0017031E" w:rsidRDefault="0017031E" w:rsidP="0017031E">
      <w:r w:rsidRPr="0017031E">
        <w:rPr>
          <w:b/>
          <w:bCs/>
        </w:rPr>
        <w:t>Tamaño: 14 tarjetas.</w:t>
      </w:r>
      <w:r w:rsidRPr="0017031E">
        <w:t xml:space="preserve"> Es 78.6% Inbursa, con Plata Crédito, Básica Santander y TDC Hey como excepciones.</w:t>
      </w:r>
    </w:p>
    <w:p w14:paraId="6437C035" w14:textId="77777777" w:rsidR="0017031E" w:rsidRPr="0017031E" w:rsidRDefault="0017031E" w:rsidP="0017031E">
      <w:r w:rsidRPr="0017031E">
        <w:t xml:space="preserve">Tiene la </w:t>
      </w:r>
      <w:r w:rsidRPr="0017031E">
        <w:rPr>
          <w:b/>
          <w:bCs/>
        </w:rPr>
        <w:t>menor anualidad promedio</w:t>
      </w:r>
      <w:r w:rsidRPr="0017031E">
        <w:t xml:space="preserve"> de todos los </w:t>
      </w:r>
      <w:proofErr w:type="spellStart"/>
      <w:r w:rsidRPr="0017031E">
        <w:t>clusters</w:t>
      </w:r>
      <w:proofErr w:type="spellEnd"/>
      <w:r w:rsidRPr="0017031E">
        <w:t xml:space="preserve">: </w:t>
      </w:r>
      <w:r w:rsidRPr="0017031E">
        <w:rPr>
          <w:b/>
          <w:bCs/>
        </w:rPr>
        <w:t>$698.57</w:t>
      </w:r>
      <w:r w:rsidRPr="0017031E">
        <w:t xml:space="preserve">, mediana $625 y rango </w:t>
      </w:r>
      <w:r w:rsidRPr="0017031E">
        <w:rPr>
          <w:b/>
          <w:bCs/>
        </w:rPr>
        <w:t>$0–$2,500</w:t>
      </w:r>
      <w:r w:rsidRPr="0017031E">
        <w:t>. Esto sí justifica llamarlo un segmento de costo fijo relativamente bajo, aunque hay una excepción premium importante.</w:t>
      </w:r>
    </w:p>
    <w:p w14:paraId="49D58C37" w14:textId="77777777" w:rsidR="0017031E" w:rsidRPr="0017031E" w:rsidRDefault="0017031E" w:rsidP="0017031E">
      <w:r w:rsidRPr="0017031E">
        <w:t xml:space="preserve">El CAT promedio es </w:t>
      </w:r>
      <w:r w:rsidRPr="0017031E">
        <w:rPr>
          <w:b/>
          <w:bCs/>
        </w:rPr>
        <w:t>72.35%</w:t>
      </w:r>
      <w:r w:rsidRPr="0017031E">
        <w:t xml:space="preserve">, rango muy amplio </w:t>
      </w:r>
      <w:r w:rsidRPr="0017031E">
        <w:rPr>
          <w:b/>
          <w:bCs/>
        </w:rPr>
        <w:t>31.1%–119.2%</w:t>
      </w:r>
      <w:r w:rsidRPr="0017031E">
        <w:t xml:space="preserve">, mediana 70.15%. La tasa promedio es 50.57%, rango </w:t>
      </w:r>
      <w:r w:rsidRPr="0017031E">
        <w:rPr>
          <w:b/>
          <w:bCs/>
        </w:rPr>
        <w:t>24.0%–79.9%</w:t>
      </w:r>
      <w:r w:rsidRPr="0017031E">
        <w:t xml:space="preserve">. En comparación con </w:t>
      </w:r>
      <w:proofErr w:type="spellStart"/>
      <w:r w:rsidRPr="0017031E">
        <w:t>clusters</w:t>
      </w:r>
      <w:proofErr w:type="spellEnd"/>
      <w:r w:rsidRPr="0017031E">
        <w:t xml:space="preserve"> 0 y 3, sus costos financieros centrales son menores, pero el grupo no es homogéneo en esa dimensión.</w:t>
      </w:r>
    </w:p>
    <w:p w14:paraId="20710774" w14:textId="77777777" w:rsidR="0017031E" w:rsidRPr="0017031E" w:rsidRDefault="0017031E" w:rsidP="0017031E">
      <w:r w:rsidRPr="0017031E">
        <w:t xml:space="preserve">La línea inicial muestra una distribución especialmente sesgada: promedio </w:t>
      </w:r>
      <w:r w:rsidRPr="0017031E">
        <w:rPr>
          <w:b/>
          <w:bCs/>
        </w:rPr>
        <w:t>$17,593</w:t>
      </w:r>
      <w:r w:rsidRPr="0017031E">
        <w:t xml:space="preserve">, pero mediana apenas </w:t>
      </w:r>
      <w:r w:rsidRPr="0017031E">
        <w:rPr>
          <w:b/>
          <w:bCs/>
        </w:rPr>
        <w:t>$2,000</w:t>
      </w:r>
      <w:r w:rsidRPr="0017031E">
        <w:t xml:space="preserve">, con rango $300–$70,000. El promedio elevado está producido por tarjetas Inbursa Oro/Platino con líneas de $30,000–$70,000. Para describir este </w:t>
      </w:r>
      <w:proofErr w:type="spellStart"/>
      <w:r w:rsidRPr="0017031E">
        <w:t>cluster</w:t>
      </w:r>
      <w:proofErr w:type="spellEnd"/>
      <w:r w:rsidRPr="0017031E">
        <w:t xml:space="preserve">, aquí </w:t>
      </w:r>
      <w:r w:rsidRPr="0017031E">
        <w:rPr>
          <w:b/>
          <w:bCs/>
        </w:rPr>
        <w:t>la mediana es mucho más representativa que la media</w:t>
      </w:r>
      <w:r w:rsidRPr="0017031E">
        <w:t>.</w:t>
      </w:r>
    </w:p>
    <w:p w14:paraId="2B37AF14" w14:textId="77777777" w:rsidR="0017031E" w:rsidRPr="0017031E" w:rsidRDefault="0017031E" w:rsidP="0017031E">
      <w:r w:rsidRPr="0017031E">
        <w:t xml:space="preserve">En requisitos ocurre algo parecido. El score promedio codificado es 580, mediana 685 y rango 0–690. </w:t>
      </w:r>
      <w:r w:rsidRPr="0017031E">
        <w:rPr>
          <w:b/>
          <w:bCs/>
        </w:rPr>
        <w:t>12 de 14 tarjetas (85.7%) exigen score</w:t>
      </w:r>
      <w:r w:rsidRPr="0017031E">
        <w:t xml:space="preserve">; las dos que no lo hacen son parte de las excepciones del grupo. El ingreso mínimo promedio es apenas </w:t>
      </w:r>
      <w:r w:rsidRPr="0017031E">
        <w:rPr>
          <w:b/>
          <w:bCs/>
        </w:rPr>
        <w:t>$4,107</w:t>
      </w:r>
      <w:r w:rsidRPr="0017031E">
        <w:t xml:space="preserve">, rango $0–$7,500 y mediana $5,000. Es por tanto mucho más accesible económicamente que el </w:t>
      </w:r>
      <w:proofErr w:type="spellStart"/>
      <w:r w:rsidRPr="0017031E">
        <w:t>cluster</w:t>
      </w:r>
      <w:proofErr w:type="spellEnd"/>
      <w:r w:rsidRPr="0017031E">
        <w:t xml:space="preserve"> 2.</w:t>
      </w:r>
    </w:p>
    <w:p w14:paraId="1244661D" w14:textId="77777777" w:rsidR="0017031E" w:rsidRPr="0017031E" w:rsidRDefault="0017031E" w:rsidP="0017031E">
      <w:r w:rsidRPr="0017031E">
        <w:t xml:space="preserve">Tiene </w:t>
      </w:r>
      <w:r w:rsidRPr="0017031E">
        <w:rPr>
          <w:b/>
          <w:bCs/>
        </w:rPr>
        <w:t>2.64 tipos de beneficio</w:t>
      </w:r>
      <w:r w:rsidRPr="0017031E">
        <w:t xml:space="preserve"> en promedio, rango 1–4. Su perfil se caracteriza más por la </w:t>
      </w:r>
      <w:r w:rsidRPr="0017031E">
        <w:rPr>
          <w:b/>
          <w:bCs/>
        </w:rPr>
        <w:t>ausencia de ciertos beneficios</w:t>
      </w:r>
      <w:r w:rsidRPr="0017031E">
        <w:t xml:space="preserve"> que por beneficios especialmente fuertes. Las </w:t>
      </w:r>
      <w:r w:rsidRPr="0017031E">
        <w:lastRenderedPageBreak/>
        <w:t xml:space="preserve">tarjetas cubren en promedio 2.71 categorías de MSI relacionadas con viaje frente a 6 en </w:t>
      </w:r>
      <w:proofErr w:type="spellStart"/>
      <w:r w:rsidRPr="0017031E">
        <w:t>cluster</w:t>
      </w:r>
      <w:proofErr w:type="spellEnd"/>
      <w:r w:rsidRPr="0017031E">
        <w:t xml:space="preserve"> 2. Solo una de las 14 presenta MSI de transporte aéreo y ninguna aparece con MSI educativos en la ingeniería.</w:t>
      </w:r>
    </w:p>
    <w:p w14:paraId="650E23D3" w14:textId="77777777" w:rsidR="0017031E" w:rsidRPr="0017031E" w:rsidRDefault="0017031E" w:rsidP="0017031E">
      <w:r w:rsidRPr="0017031E">
        <w:t>Eso también aparece directamente en las variables estandarizadas:</w:t>
      </w:r>
    </w:p>
    <w:p w14:paraId="6A8145D1" w14:textId="77777777" w:rsidR="0017031E" w:rsidRPr="0017031E" w:rsidRDefault="0017031E" w:rsidP="0017031E">
      <w:pPr>
        <w:numPr>
          <w:ilvl w:val="0"/>
          <w:numId w:val="2"/>
        </w:numPr>
      </w:pPr>
      <w:r w:rsidRPr="0017031E">
        <w:t xml:space="preserve">MSI educativos: </w:t>
      </w:r>
      <w:r w:rsidRPr="0017031E">
        <w:rPr>
          <w:b/>
          <w:bCs/>
        </w:rPr>
        <w:t>−1.90σ</w:t>
      </w:r>
      <w:r w:rsidRPr="0017031E">
        <w:t>;</w:t>
      </w:r>
    </w:p>
    <w:p w14:paraId="7C605FE7" w14:textId="77777777" w:rsidR="0017031E" w:rsidRPr="0017031E" w:rsidRDefault="0017031E" w:rsidP="0017031E">
      <w:pPr>
        <w:numPr>
          <w:ilvl w:val="0"/>
          <w:numId w:val="2"/>
        </w:numPr>
      </w:pPr>
      <w:r w:rsidRPr="0017031E">
        <w:t xml:space="preserve">MSI transporte aéreo: </w:t>
      </w:r>
      <w:r w:rsidRPr="0017031E">
        <w:rPr>
          <w:b/>
          <w:bCs/>
        </w:rPr>
        <w:t>−1.89σ</w:t>
      </w:r>
      <w:r w:rsidRPr="0017031E">
        <w:t>;</w:t>
      </w:r>
    </w:p>
    <w:p w14:paraId="184C2039" w14:textId="77777777" w:rsidR="0017031E" w:rsidRPr="0017031E" w:rsidRDefault="0017031E" w:rsidP="0017031E">
      <w:pPr>
        <w:numPr>
          <w:ilvl w:val="0"/>
          <w:numId w:val="2"/>
        </w:numPr>
      </w:pPr>
      <w:r w:rsidRPr="0017031E">
        <w:t xml:space="preserve">amplitud MSI de viaje: </w:t>
      </w:r>
      <w:r w:rsidRPr="0017031E">
        <w:rPr>
          <w:b/>
          <w:bCs/>
        </w:rPr>
        <w:t>−1.42σ</w:t>
      </w:r>
      <w:r w:rsidRPr="0017031E">
        <w:t>;</w:t>
      </w:r>
    </w:p>
    <w:p w14:paraId="3B7CF590" w14:textId="77777777" w:rsidR="0017031E" w:rsidRPr="0017031E" w:rsidRDefault="0017031E" w:rsidP="0017031E">
      <w:pPr>
        <w:numPr>
          <w:ilvl w:val="0"/>
          <w:numId w:val="2"/>
        </w:numPr>
      </w:pPr>
      <w:r w:rsidRPr="0017031E">
        <w:t xml:space="preserve">penalización monetaria: </w:t>
      </w:r>
      <w:r w:rsidRPr="0017031E">
        <w:rPr>
          <w:b/>
          <w:bCs/>
        </w:rPr>
        <w:t>−1.05σ</w:t>
      </w:r>
      <w:r w:rsidRPr="0017031E">
        <w:t>;</w:t>
      </w:r>
    </w:p>
    <w:p w14:paraId="43E55A65" w14:textId="77777777" w:rsidR="0017031E" w:rsidRPr="0017031E" w:rsidRDefault="0017031E" w:rsidP="0017031E">
      <w:pPr>
        <w:numPr>
          <w:ilvl w:val="0"/>
          <w:numId w:val="2"/>
        </w:numPr>
      </w:pPr>
      <w:r w:rsidRPr="0017031E">
        <w:t xml:space="preserve">comisión por falta de pago: </w:t>
      </w:r>
      <w:r w:rsidRPr="0017031E">
        <w:rPr>
          <w:b/>
          <w:bCs/>
        </w:rPr>
        <w:t>−0.96σ</w:t>
      </w:r>
      <w:r w:rsidRPr="0017031E">
        <w:t>.</w:t>
      </w:r>
    </w:p>
    <w:p w14:paraId="50C9C0AA" w14:textId="77777777" w:rsidR="0017031E" w:rsidRPr="0017031E" w:rsidRDefault="0017031E" w:rsidP="0017031E">
      <w:r w:rsidRPr="0017031E">
        <w:rPr>
          <w:b/>
          <w:bCs/>
        </w:rPr>
        <w:t>Tarjetas periféricas.</w:t>
      </w:r>
      <w:r w:rsidRPr="0017031E">
        <w:t xml:space="preserve"> La más diferente es </w:t>
      </w:r>
      <w:r w:rsidRPr="0017031E">
        <w:rPr>
          <w:b/>
          <w:bCs/>
        </w:rPr>
        <w:t>Inbursa Black American Express</w:t>
      </w:r>
      <w:r w:rsidRPr="0017031E">
        <w:t xml:space="preserve">: CAT 31.1%, tasa 24%, anualidad $2,500 y línea $70,000. Es mucho más premium y barata financieramente que la tarjeta típica del </w:t>
      </w:r>
      <w:proofErr w:type="spellStart"/>
      <w:r w:rsidRPr="0017031E">
        <w:t>cluster</w:t>
      </w:r>
      <w:proofErr w:type="spellEnd"/>
      <w:r w:rsidRPr="0017031E">
        <w:t xml:space="preserve">, pero coincide con Inbursa en otras comisiones/requisitos/beneficios. </w:t>
      </w:r>
      <w:r w:rsidRPr="0017031E">
        <w:rPr>
          <w:b/>
          <w:bCs/>
        </w:rPr>
        <w:t>Plata Crédito</w:t>
      </w:r>
      <w:r w:rsidRPr="0017031E">
        <w:t xml:space="preserve"> es casi la excepción contraria: anualidad $0, CAT 116.7%, tasa 79.9%, línea de apenas $300 y sin requisito explícito de ingreso o score. </w:t>
      </w:r>
      <w:r w:rsidRPr="0017031E">
        <w:rPr>
          <w:b/>
          <w:bCs/>
        </w:rPr>
        <w:t>TDC Hey</w:t>
      </w:r>
      <w:r w:rsidRPr="0017031E">
        <w:t xml:space="preserve"> también es periférica por no exigir score ni ingreso y por diferir en MSI/comisiones.</w:t>
      </w:r>
    </w:p>
    <w:p w14:paraId="66F109C7" w14:textId="77777777" w:rsidR="0017031E" w:rsidRPr="0017031E" w:rsidRDefault="0017031E" w:rsidP="0017031E">
      <w:r w:rsidRPr="0017031E">
        <w:t xml:space="preserve">Por tanto, este es uno de los </w:t>
      </w:r>
      <w:proofErr w:type="spellStart"/>
      <w:r w:rsidRPr="0017031E">
        <w:t>clusters</w:t>
      </w:r>
      <w:proofErr w:type="spellEnd"/>
      <w:r w:rsidRPr="0017031E">
        <w:t xml:space="preserve"> </w:t>
      </w:r>
      <w:r w:rsidRPr="0017031E">
        <w:rPr>
          <w:b/>
          <w:bCs/>
        </w:rPr>
        <w:t>menos homogéneos internamente</w:t>
      </w:r>
      <w:r w:rsidRPr="0017031E">
        <w:t>. El nombre debe centrarse en lo que domina al grupo, no asumir que todas sus tarjetas son baratas.</w:t>
      </w:r>
    </w:p>
    <w:p w14:paraId="48111732" w14:textId="77777777" w:rsidR="0017031E" w:rsidRPr="0017031E" w:rsidRDefault="0017031E" w:rsidP="0017031E">
      <w:r w:rsidRPr="0017031E">
        <w:rPr>
          <w:b/>
          <w:bCs/>
        </w:rPr>
        <w:t>Interpretación:</w:t>
      </w:r>
      <w:r w:rsidRPr="0017031E">
        <w:t xml:space="preserve"> productos con </w:t>
      </w:r>
      <w:r w:rsidRPr="0017031E">
        <w:rPr>
          <w:b/>
          <w:bCs/>
        </w:rPr>
        <w:t>anualidad generalmente baja</w:t>
      </w:r>
      <w:r w:rsidRPr="0017031E">
        <w:t>, beneficios menos extensos y requisitos económicos moderados, pero con algunas tarjetas extremas tanto de bajo como de alto costo financiero.</w:t>
      </w:r>
    </w:p>
    <w:p w14:paraId="52B3B553" w14:textId="77777777" w:rsidR="0017031E" w:rsidRPr="0017031E" w:rsidRDefault="0017031E" w:rsidP="0017031E">
      <w:r w:rsidRPr="0017031E">
        <w:pict w14:anchorId="6C5E26C8">
          <v:rect id="_x0000_i1062" style="width:0;height:1.5pt" o:hralign="center" o:hrstd="t" o:hr="t" fillcolor="#a0a0a0" stroked="f"/>
        </w:pict>
      </w:r>
    </w:p>
    <w:p w14:paraId="53401B06" w14:textId="77777777" w:rsidR="0017031E" w:rsidRPr="0017031E" w:rsidRDefault="0017031E" w:rsidP="0017031E">
      <w:pPr>
        <w:pStyle w:val="Ttulo2"/>
      </w:pPr>
      <w:r w:rsidRPr="0017031E">
        <w:t>Cluster 2 — Recompensas por dólar, viajes y alta capacidad de crédito</w:t>
      </w:r>
    </w:p>
    <w:p w14:paraId="5D59A845" w14:textId="77777777" w:rsidR="0017031E" w:rsidRPr="0017031E" w:rsidRDefault="0017031E" w:rsidP="0017031E">
      <w:r w:rsidRPr="0017031E">
        <w:rPr>
          <w:b/>
          <w:bCs/>
        </w:rPr>
        <w:t>Tamaño: 13 tarjetas. El 100% es Santander.</w:t>
      </w:r>
    </w:p>
    <w:p w14:paraId="539938E8" w14:textId="77777777" w:rsidR="0017031E" w:rsidRPr="0017031E" w:rsidRDefault="0017031E" w:rsidP="0017031E">
      <w:r w:rsidRPr="0017031E">
        <w:t xml:space="preserve">Es uno de los </w:t>
      </w:r>
      <w:proofErr w:type="spellStart"/>
      <w:r w:rsidRPr="0017031E">
        <w:t>clusters</w:t>
      </w:r>
      <w:proofErr w:type="spellEnd"/>
      <w:r w:rsidRPr="0017031E">
        <w:t xml:space="preserve"> más estructurados del modelo. Todas sus tarjetas exigen exactamente </w:t>
      </w:r>
      <w:r w:rsidRPr="0017031E">
        <w:rPr>
          <w:b/>
          <w:bCs/>
        </w:rPr>
        <w:t>score mínimo de 580</w:t>
      </w:r>
      <w:r w:rsidRPr="0017031E">
        <w:t>.</w:t>
      </w:r>
    </w:p>
    <w:p w14:paraId="3828EDF4" w14:textId="77777777" w:rsidR="0017031E" w:rsidRPr="0017031E" w:rsidRDefault="0017031E" w:rsidP="0017031E">
      <w:r w:rsidRPr="0017031E">
        <w:t xml:space="preserve">La línea inicial promedio es la más alta de los seis grupos: </w:t>
      </w:r>
      <w:r w:rsidRPr="0017031E">
        <w:rPr>
          <w:b/>
          <w:bCs/>
        </w:rPr>
        <w:t>$34,577</w:t>
      </w:r>
      <w:r w:rsidRPr="0017031E">
        <w:t xml:space="preserve">, mediana $20,000 y rango </w:t>
      </w:r>
      <w:r w:rsidRPr="0017031E">
        <w:rPr>
          <w:b/>
          <w:bCs/>
        </w:rPr>
        <w:t>$3,000–$100,000</w:t>
      </w:r>
      <w:r w:rsidRPr="0017031E">
        <w:t xml:space="preserve">. El ingreso mínimo promedio también es, por mucho, el más alto: </w:t>
      </w:r>
      <w:r w:rsidRPr="0017031E">
        <w:rPr>
          <w:b/>
          <w:bCs/>
        </w:rPr>
        <w:t>$37,500</w:t>
      </w:r>
      <w:r w:rsidRPr="0017031E">
        <w:t xml:space="preserve">, mediana $20,000 y rango </w:t>
      </w:r>
      <w:r w:rsidRPr="0017031E">
        <w:rPr>
          <w:b/>
          <w:bCs/>
        </w:rPr>
        <w:t>$7,500–$150,000</w:t>
      </w:r>
      <w:r w:rsidRPr="0017031E">
        <w:t>.</w:t>
      </w:r>
    </w:p>
    <w:p w14:paraId="153D8308" w14:textId="77777777" w:rsidR="0017031E" w:rsidRPr="0017031E" w:rsidRDefault="0017031E" w:rsidP="0017031E">
      <w:r w:rsidRPr="0017031E">
        <w:lastRenderedPageBreak/>
        <w:t xml:space="preserve">La anualidad promedio es </w:t>
      </w:r>
      <w:r w:rsidRPr="0017031E">
        <w:rPr>
          <w:b/>
          <w:bCs/>
        </w:rPr>
        <w:t>$1,964</w:t>
      </w:r>
      <w:r w:rsidRPr="0017031E">
        <w:t xml:space="preserve">, segunda más alta detrás del </w:t>
      </w:r>
      <w:proofErr w:type="spellStart"/>
      <w:r w:rsidRPr="0017031E">
        <w:t>cluster</w:t>
      </w:r>
      <w:proofErr w:type="spellEnd"/>
      <w:r w:rsidRPr="0017031E">
        <w:t xml:space="preserve"> 5; mediana $1,100 y rango </w:t>
      </w:r>
      <w:r w:rsidRPr="0017031E">
        <w:rPr>
          <w:b/>
          <w:bCs/>
        </w:rPr>
        <w:t>$0–$5,000</w:t>
      </w:r>
      <w:r w:rsidRPr="0017031E">
        <w:t>. Esto indica que el grupo contiene tanto tarjetas de entrada como productos premium.</w:t>
      </w:r>
    </w:p>
    <w:p w14:paraId="73D89821" w14:textId="77777777" w:rsidR="0017031E" w:rsidRPr="0017031E" w:rsidRDefault="0017031E" w:rsidP="0017031E">
      <w:r w:rsidRPr="0017031E">
        <w:t xml:space="preserve">El CAT promedio es 70.45%, con rango enorme </w:t>
      </w:r>
      <w:r w:rsidRPr="0017031E">
        <w:rPr>
          <w:b/>
          <w:bCs/>
        </w:rPr>
        <w:t>28.7%–104%</w:t>
      </w:r>
      <w:r w:rsidRPr="0017031E">
        <w:t>; la tasa media es 51.48%, rango 22.8%–66.8%. La dispersión ocurre porque Santander agrupa en la misma estructura de beneficios tarjetas clásicas y World Elite/Infinite.</w:t>
      </w:r>
    </w:p>
    <w:p w14:paraId="57511C1A" w14:textId="77777777" w:rsidR="0017031E" w:rsidRPr="0017031E" w:rsidRDefault="0017031E" w:rsidP="0017031E">
      <w:r w:rsidRPr="0017031E">
        <w:t>Los beneficios son extremadamente consistentes. Todas las tarjetas tienen:</w:t>
      </w:r>
    </w:p>
    <w:p w14:paraId="5DB003DC" w14:textId="77777777" w:rsidR="0017031E" w:rsidRPr="0017031E" w:rsidRDefault="0017031E" w:rsidP="0017031E">
      <w:pPr>
        <w:numPr>
          <w:ilvl w:val="0"/>
          <w:numId w:val="3"/>
        </w:numPr>
      </w:pPr>
      <w:r w:rsidRPr="0017031E">
        <w:rPr>
          <w:b/>
          <w:bCs/>
        </w:rPr>
        <w:t>6 de 6 categorías de MSI de viaje</w:t>
      </w:r>
      <w:r w:rsidRPr="0017031E">
        <w:t>;</w:t>
      </w:r>
    </w:p>
    <w:p w14:paraId="4490F6C6" w14:textId="77777777" w:rsidR="0017031E" w:rsidRPr="0017031E" w:rsidRDefault="0017031E" w:rsidP="0017031E">
      <w:pPr>
        <w:numPr>
          <w:ilvl w:val="0"/>
          <w:numId w:val="3"/>
        </w:numPr>
      </w:pPr>
      <w:r w:rsidRPr="0017031E">
        <w:t>MSI en peaje;</w:t>
      </w:r>
    </w:p>
    <w:p w14:paraId="0857DA55" w14:textId="77777777" w:rsidR="0017031E" w:rsidRPr="0017031E" w:rsidRDefault="0017031E" w:rsidP="0017031E">
      <w:pPr>
        <w:numPr>
          <w:ilvl w:val="0"/>
          <w:numId w:val="3"/>
        </w:numPr>
      </w:pPr>
      <w:r w:rsidRPr="0017031E">
        <w:t>preventa de teatro;</w:t>
      </w:r>
    </w:p>
    <w:p w14:paraId="2D5F9E89" w14:textId="77777777" w:rsidR="0017031E" w:rsidRPr="0017031E" w:rsidRDefault="0017031E" w:rsidP="0017031E">
      <w:pPr>
        <w:numPr>
          <w:ilvl w:val="0"/>
          <w:numId w:val="3"/>
        </w:numPr>
      </w:pPr>
      <w:r w:rsidRPr="0017031E">
        <w:t>preventa de conciertos/festivales;</w:t>
      </w:r>
    </w:p>
    <w:p w14:paraId="4851B553" w14:textId="77777777" w:rsidR="0017031E" w:rsidRPr="0017031E" w:rsidRDefault="0017031E" w:rsidP="0017031E">
      <w:pPr>
        <w:numPr>
          <w:ilvl w:val="0"/>
          <w:numId w:val="3"/>
        </w:numPr>
      </w:pPr>
      <w:r w:rsidRPr="0017031E">
        <w:t>preventa de eventos deportivos.</w:t>
      </w:r>
    </w:p>
    <w:p w14:paraId="01A61CE7" w14:textId="77777777" w:rsidR="0017031E" w:rsidRPr="0017031E" w:rsidRDefault="0017031E" w:rsidP="0017031E">
      <w:r w:rsidRPr="0017031E">
        <w:t xml:space="preserve">Además, los puntos por dólar son la principal característica cuantitativa: </w:t>
      </w:r>
      <w:r w:rsidRPr="0017031E">
        <w:rPr>
          <w:b/>
          <w:bCs/>
        </w:rPr>
        <w:t>1.62 puntos por dólar promedio</w:t>
      </w:r>
      <w:r w:rsidRPr="0017031E">
        <w:t xml:space="preserve">, rango </w:t>
      </w:r>
      <w:r w:rsidRPr="0017031E">
        <w:rPr>
          <w:b/>
          <w:bCs/>
        </w:rPr>
        <w:t>1–3</w:t>
      </w:r>
      <w:r w:rsidRPr="0017031E">
        <w:t xml:space="preserve">, mediana 2. Es la media más alta de todos los </w:t>
      </w:r>
      <w:proofErr w:type="spellStart"/>
      <w:r w:rsidRPr="0017031E">
        <w:t>clusters</w:t>
      </w:r>
      <w:proofErr w:type="spellEnd"/>
      <w:r w:rsidRPr="0017031E">
        <w:t xml:space="preserve"> y aparece a </w:t>
      </w:r>
      <w:r w:rsidRPr="0017031E">
        <w:rPr>
          <w:b/>
          <w:bCs/>
        </w:rPr>
        <w:t>+1.64σ</w:t>
      </w:r>
      <w:r w:rsidRPr="0017031E">
        <w:t xml:space="preserve"> sobre el promedio global.</w:t>
      </w:r>
    </w:p>
    <w:p w14:paraId="5CAF8509" w14:textId="77777777" w:rsidR="0017031E" w:rsidRPr="0017031E" w:rsidRDefault="0017031E" w:rsidP="0017031E">
      <w:r w:rsidRPr="0017031E">
        <w:t>Otras señales fuertes son MSI en peaje (+1.57σ) y las tres variables de preventa (~+1.4σ).</w:t>
      </w:r>
    </w:p>
    <w:p w14:paraId="548F902C" w14:textId="77777777" w:rsidR="0017031E" w:rsidRPr="0017031E" w:rsidRDefault="0017031E" w:rsidP="0017031E">
      <w:r w:rsidRPr="0017031E">
        <w:rPr>
          <w:b/>
          <w:bCs/>
        </w:rPr>
        <w:t>Tarjetas periféricas.</w:t>
      </w:r>
      <w:r w:rsidRPr="0017031E">
        <w:t xml:space="preserve"> </w:t>
      </w:r>
      <w:r w:rsidRPr="0017031E">
        <w:rPr>
          <w:b/>
          <w:bCs/>
        </w:rPr>
        <w:t>Visa Infinite Santander</w:t>
      </w:r>
      <w:r w:rsidRPr="0017031E">
        <w:t xml:space="preserve"> es la más distante del centro: ingreso requerido $150,000, línea inicial $100,000, anualidad $5,000, pero CAT 28.7% y tasa 22.8%. </w:t>
      </w:r>
      <w:r w:rsidRPr="0017031E">
        <w:rPr>
          <w:b/>
          <w:bCs/>
        </w:rPr>
        <w:t>Santander World Elite</w:t>
      </w:r>
      <w:r w:rsidRPr="0017031E">
        <w:t xml:space="preserve"> tiene una estructura casi idéntica en esa dirección premium. </w:t>
      </w:r>
      <w:r w:rsidRPr="0017031E">
        <w:rPr>
          <w:b/>
          <w:bCs/>
        </w:rPr>
        <w:t>Santander Aeroméxico Infinite</w:t>
      </w:r>
      <w:r w:rsidRPr="0017031E">
        <w:t xml:space="preserve"> también está en el extremo alto de línea/anualidad.</w:t>
      </w:r>
    </w:p>
    <w:p w14:paraId="229ACE7D" w14:textId="77777777" w:rsidR="0017031E" w:rsidRPr="0017031E" w:rsidRDefault="0017031E" w:rsidP="0017031E">
      <w:r w:rsidRPr="0017031E">
        <w:t xml:space="preserve">En el extremo opuesto, hay dos excepciones particularmente interesantes para tu futuro recomendador: </w:t>
      </w:r>
      <w:r w:rsidRPr="0017031E">
        <w:rPr>
          <w:b/>
          <w:bCs/>
        </w:rPr>
        <w:t>Santander Free</w:t>
      </w:r>
      <w:r w:rsidRPr="0017031E">
        <w:t xml:space="preserve"> y </w:t>
      </w:r>
      <w:r w:rsidRPr="0017031E">
        <w:rPr>
          <w:b/>
          <w:bCs/>
        </w:rPr>
        <w:t>Santander Aeroméxico Blanca tienen $0 de anualidad</w:t>
      </w:r>
      <w:r w:rsidRPr="0017031E">
        <w:t xml:space="preserve">, pese a que el </w:t>
      </w:r>
      <w:proofErr w:type="spellStart"/>
      <w:r w:rsidRPr="0017031E">
        <w:t>cluster</w:t>
      </w:r>
      <w:proofErr w:type="spellEnd"/>
      <w:r w:rsidRPr="0017031E">
        <w:t xml:space="preserve"> promedia casi $2,000. No están mal clasificadas: comparten el patrón Santander de score, MSI, preventas y recompensas, pero son alternativas de menor costo fijo.</w:t>
      </w:r>
    </w:p>
    <w:p w14:paraId="27F05778" w14:textId="77777777" w:rsidR="0017031E" w:rsidRPr="0017031E" w:rsidRDefault="0017031E" w:rsidP="0017031E">
      <w:r w:rsidRPr="0017031E">
        <w:rPr>
          <w:b/>
          <w:bCs/>
        </w:rPr>
        <w:t>Interpretación:</w:t>
      </w:r>
      <w:r w:rsidRPr="0017031E">
        <w:t xml:space="preserve"> tarjetas orientadas a </w:t>
      </w:r>
      <w:r w:rsidRPr="0017031E">
        <w:rPr>
          <w:b/>
          <w:bCs/>
        </w:rPr>
        <w:t>viajes, recompensas y preventas</w:t>
      </w:r>
      <w:r w:rsidRPr="0017031E">
        <w:t>, con requisitos de crédito bien definidos y, en la parte premium, líneas e ingresos significativamente mayores.</w:t>
      </w:r>
    </w:p>
    <w:p w14:paraId="4A586A10" w14:textId="77777777" w:rsidR="0017031E" w:rsidRPr="0017031E" w:rsidRDefault="0017031E" w:rsidP="0017031E">
      <w:r w:rsidRPr="0017031E">
        <w:pict w14:anchorId="7302C223">
          <v:rect id="_x0000_i1063" style="width:0;height:1.5pt" o:hralign="center" o:hrstd="t" o:hr="t" fillcolor="#a0a0a0" stroked="f"/>
        </w:pict>
      </w:r>
    </w:p>
    <w:p w14:paraId="3CE9CEFD" w14:textId="77777777" w:rsidR="0017031E" w:rsidRPr="0017031E" w:rsidRDefault="0017031E" w:rsidP="0017031E">
      <w:pPr>
        <w:pStyle w:val="Ttulo2"/>
      </w:pPr>
      <w:r w:rsidRPr="0017031E">
        <w:lastRenderedPageBreak/>
        <w:t>Cluster 3 — Beneficios promocionales amplios y transferencia de saldo, con costo financiero alto</w:t>
      </w:r>
    </w:p>
    <w:p w14:paraId="70B69E51" w14:textId="77777777" w:rsidR="0017031E" w:rsidRPr="0017031E" w:rsidRDefault="0017031E" w:rsidP="0017031E">
      <w:r w:rsidRPr="0017031E">
        <w:rPr>
          <w:b/>
          <w:bCs/>
        </w:rPr>
        <w:t>Tamaño: 10 tarjetas. 100% Banamex.</w:t>
      </w:r>
    </w:p>
    <w:p w14:paraId="28E48489" w14:textId="77777777" w:rsidR="0017031E" w:rsidRPr="0017031E" w:rsidRDefault="0017031E" w:rsidP="0017031E">
      <w:r w:rsidRPr="0017031E">
        <w:t xml:space="preserve">Este es probablemente el </w:t>
      </w:r>
      <w:proofErr w:type="spellStart"/>
      <w:r w:rsidRPr="0017031E">
        <w:t>cluster</w:t>
      </w:r>
      <w:proofErr w:type="spellEnd"/>
      <w:r w:rsidRPr="0017031E">
        <w:t xml:space="preserve"> </w:t>
      </w:r>
      <w:r w:rsidRPr="0017031E">
        <w:rPr>
          <w:b/>
          <w:bCs/>
        </w:rPr>
        <w:t>más compacto y fácil de interpretar</w:t>
      </w:r>
      <w:r w:rsidRPr="0017031E">
        <w:t xml:space="preserve">. Su distancia media al centro del </w:t>
      </w:r>
      <w:proofErr w:type="spellStart"/>
      <w:r w:rsidRPr="0017031E">
        <w:t>cluster</w:t>
      </w:r>
      <w:proofErr w:type="spellEnd"/>
      <w:r w:rsidRPr="0017031E">
        <w:t xml:space="preserve"> en PCA es de solo 1.46, la menor de todos los grupos.</w:t>
      </w:r>
    </w:p>
    <w:p w14:paraId="61BD4007" w14:textId="77777777" w:rsidR="0017031E" w:rsidRPr="0017031E" w:rsidRDefault="0017031E" w:rsidP="0017031E">
      <w:r w:rsidRPr="0017031E">
        <w:t xml:space="preserve">Tiene el </w:t>
      </w:r>
      <w:r w:rsidRPr="0017031E">
        <w:rPr>
          <w:b/>
          <w:bCs/>
        </w:rPr>
        <w:t>CAT promedio más alto</w:t>
      </w:r>
      <w:r w:rsidRPr="0017031E">
        <w:t xml:space="preserve">: </w:t>
      </w:r>
      <w:r w:rsidRPr="0017031E">
        <w:rPr>
          <w:b/>
          <w:bCs/>
        </w:rPr>
        <w:t>86.74%</w:t>
      </w:r>
      <w:r w:rsidRPr="0017031E">
        <w:t xml:space="preserve">, y además el rango es bastante estrecho: </w:t>
      </w:r>
      <w:r w:rsidRPr="0017031E">
        <w:rPr>
          <w:b/>
          <w:bCs/>
        </w:rPr>
        <w:t>80.8%–90.2%</w:t>
      </w:r>
      <w:r w:rsidRPr="0017031E">
        <w:t xml:space="preserve">, mediana 87.3%. Por </w:t>
      </w:r>
      <w:proofErr w:type="gramStart"/>
      <w:r w:rsidRPr="0017031E">
        <w:t>tanto</w:t>
      </w:r>
      <w:proofErr w:type="gramEnd"/>
      <w:r w:rsidRPr="0017031E">
        <w:t xml:space="preserve"> aquí “CAT alto” no se debe a una tarjeta extrema: prácticamente todas están alrededor de 80–90%.</w:t>
      </w:r>
    </w:p>
    <w:p w14:paraId="344E3897" w14:textId="77777777" w:rsidR="0017031E" w:rsidRPr="0017031E" w:rsidRDefault="0017031E" w:rsidP="0017031E">
      <w:r w:rsidRPr="0017031E">
        <w:t xml:space="preserve">También tiene la </w:t>
      </w:r>
      <w:r w:rsidRPr="0017031E">
        <w:rPr>
          <w:b/>
          <w:bCs/>
        </w:rPr>
        <w:t>tasa promedio más alta</w:t>
      </w:r>
      <w:r w:rsidRPr="0017031E">
        <w:t xml:space="preserve">, 59.9%, rango estrecho </w:t>
      </w:r>
      <w:r w:rsidRPr="0017031E">
        <w:rPr>
          <w:b/>
          <w:bCs/>
        </w:rPr>
        <w:t>55.8%–62.3%</w:t>
      </w:r>
      <w:r w:rsidRPr="0017031E">
        <w:t>, mediana 60.3%. Esto hace que el costo financiero elevado sea un rasgo realmente estructural.</w:t>
      </w:r>
    </w:p>
    <w:p w14:paraId="37DDCFD9" w14:textId="77777777" w:rsidR="0017031E" w:rsidRPr="0017031E" w:rsidRDefault="0017031E" w:rsidP="0017031E">
      <w:r w:rsidRPr="0017031E">
        <w:t xml:space="preserve">La anualidad promedio es $951.57, mediana $815 y rango </w:t>
      </w:r>
      <w:r w:rsidRPr="0017031E">
        <w:rPr>
          <w:b/>
          <w:bCs/>
        </w:rPr>
        <w:t>$54.17–$2,725</w:t>
      </w:r>
      <w:r w:rsidRPr="0017031E">
        <w:t>. La línea promedio es $9,100, pero la mediana es $4,500; Explora Banamex, con $50,000 de línea, eleva bastante la media.</w:t>
      </w:r>
    </w:p>
    <w:p w14:paraId="537B8D40" w14:textId="77777777" w:rsidR="0017031E" w:rsidRPr="0017031E" w:rsidRDefault="0017031E" w:rsidP="0017031E">
      <w:r w:rsidRPr="0017031E">
        <w:t>Ninguna de las diez tarjetas exige score dentro de la información de la base. Tampoco exigen antigüedad laboral ni residencial. El ingreso mínimo está mucho más concentrado: promedio $9,350, mediana $7,000 y rango $7,000–$30,000.</w:t>
      </w:r>
    </w:p>
    <w:p w14:paraId="45E6ACC9" w14:textId="77777777" w:rsidR="0017031E" w:rsidRPr="0017031E" w:rsidRDefault="0017031E" w:rsidP="0017031E">
      <w:r w:rsidRPr="0017031E">
        <w:t xml:space="preserve">La </w:t>
      </w:r>
      <w:r w:rsidRPr="0017031E">
        <w:rPr>
          <w:b/>
          <w:bCs/>
        </w:rPr>
        <w:t>diversidad de beneficios es la más alta de todo el modelo</w:t>
      </w:r>
      <w:r w:rsidRPr="0017031E">
        <w:t>: 4.8 tipos en promedio, rango 4–5. Nueve de diez presentan descuentos educativos; las categorías de descuento promedian 4.5 de consumo y 3.6 de viaje.</w:t>
      </w:r>
    </w:p>
    <w:p w14:paraId="3D7F815F" w14:textId="77777777" w:rsidR="0017031E" w:rsidRPr="0017031E" w:rsidRDefault="0017031E" w:rsidP="0017031E">
      <w:r w:rsidRPr="0017031E">
        <w:t xml:space="preserve">La transferencia de saldo es una marca muy fuerte: en las diez tarjetas la ingeniería extrae </w:t>
      </w:r>
      <w:r w:rsidRPr="0017031E">
        <w:rPr>
          <w:b/>
          <w:bCs/>
        </w:rPr>
        <w:t xml:space="preserve">17% de </w:t>
      </w:r>
      <w:proofErr w:type="gramStart"/>
      <w:r w:rsidRPr="0017031E">
        <w:rPr>
          <w:b/>
          <w:bCs/>
        </w:rPr>
        <w:t>tasa mínima y plazo mínimo</w:t>
      </w:r>
      <w:proofErr w:type="gramEnd"/>
      <w:r w:rsidRPr="0017031E">
        <w:rPr>
          <w:b/>
          <w:bCs/>
        </w:rPr>
        <w:t xml:space="preserve"> de 12</w:t>
      </w:r>
      <w:r w:rsidRPr="0017031E">
        <w:t xml:space="preserve">, sin variabilidad dentro del </w:t>
      </w:r>
      <w:proofErr w:type="spellStart"/>
      <w:r w:rsidRPr="0017031E">
        <w:t>cluster</w:t>
      </w:r>
      <w:proofErr w:type="spellEnd"/>
      <w:r w:rsidRPr="0017031E">
        <w:t>.</w:t>
      </w:r>
    </w:p>
    <w:p w14:paraId="5F92F7FF" w14:textId="77777777" w:rsidR="0017031E" w:rsidRPr="0017031E" w:rsidRDefault="0017031E" w:rsidP="0017031E">
      <w:r w:rsidRPr="0017031E">
        <w:t>Además, las diez tienen las tres modalidades de preventa analizadas.</w:t>
      </w:r>
    </w:p>
    <w:p w14:paraId="2440CD5A" w14:textId="77777777" w:rsidR="0017031E" w:rsidRPr="0017031E" w:rsidRDefault="0017031E" w:rsidP="0017031E">
      <w:r w:rsidRPr="0017031E">
        <w:t>En el Top 30, sus rasgos más extremos son:</w:t>
      </w:r>
    </w:p>
    <w:p w14:paraId="6512B5C2" w14:textId="77777777" w:rsidR="0017031E" w:rsidRPr="0017031E" w:rsidRDefault="0017031E" w:rsidP="0017031E">
      <w:pPr>
        <w:numPr>
          <w:ilvl w:val="0"/>
          <w:numId w:val="4"/>
        </w:numPr>
      </w:pPr>
      <w:r w:rsidRPr="0017031E">
        <w:t xml:space="preserve">banca por app (% transacción): </w:t>
      </w:r>
      <w:r w:rsidRPr="0017031E">
        <w:rPr>
          <w:b/>
          <w:bCs/>
        </w:rPr>
        <w:t>+2.42σ</w:t>
      </w:r>
      <w:r w:rsidRPr="0017031E">
        <w:t>;</w:t>
      </w:r>
    </w:p>
    <w:p w14:paraId="19D3B8EF" w14:textId="77777777" w:rsidR="0017031E" w:rsidRPr="0017031E" w:rsidRDefault="0017031E" w:rsidP="0017031E">
      <w:pPr>
        <w:numPr>
          <w:ilvl w:val="0"/>
          <w:numId w:val="4"/>
        </w:numPr>
      </w:pPr>
      <w:r w:rsidRPr="0017031E">
        <w:t xml:space="preserve">descuentos educativos: </w:t>
      </w:r>
      <w:r w:rsidRPr="0017031E">
        <w:rPr>
          <w:b/>
          <w:bCs/>
        </w:rPr>
        <w:t>+2.14σ</w:t>
      </w:r>
      <w:r w:rsidRPr="0017031E">
        <w:t>;</w:t>
      </w:r>
    </w:p>
    <w:p w14:paraId="6A6A5A0D" w14:textId="77777777" w:rsidR="0017031E" w:rsidRPr="0017031E" w:rsidRDefault="0017031E" w:rsidP="0017031E">
      <w:pPr>
        <w:numPr>
          <w:ilvl w:val="0"/>
          <w:numId w:val="4"/>
        </w:numPr>
      </w:pPr>
      <w:r w:rsidRPr="0017031E">
        <w:t xml:space="preserve">plazo de transferencia de saldo: </w:t>
      </w:r>
      <w:r w:rsidRPr="0017031E">
        <w:rPr>
          <w:b/>
          <w:bCs/>
        </w:rPr>
        <w:t>+1.90σ</w:t>
      </w:r>
      <w:r w:rsidRPr="0017031E">
        <w:t>;</w:t>
      </w:r>
    </w:p>
    <w:p w14:paraId="0D0D8B87" w14:textId="77777777" w:rsidR="0017031E" w:rsidRPr="0017031E" w:rsidRDefault="0017031E" w:rsidP="0017031E">
      <w:pPr>
        <w:numPr>
          <w:ilvl w:val="0"/>
          <w:numId w:val="4"/>
        </w:numPr>
      </w:pPr>
      <w:r w:rsidRPr="0017031E">
        <w:t xml:space="preserve">amplitud de descuentos de consumo: </w:t>
      </w:r>
      <w:r w:rsidRPr="0017031E">
        <w:rPr>
          <w:b/>
          <w:bCs/>
        </w:rPr>
        <w:t>+1.60σ</w:t>
      </w:r>
      <w:r w:rsidRPr="0017031E">
        <w:t>;</w:t>
      </w:r>
    </w:p>
    <w:p w14:paraId="5BAE759C" w14:textId="77777777" w:rsidR="0017031E" w:rsidRPr="0017031E" w:rsidRDefault="0017031E" w:rsidP="0017031E">
      <w:pPr>
        <w:numPr>
          <w:ilvl w:val="0"/>
          <w:numId w:val="4"/>
        </w:numPr>
      </w:pPr>
      <w:r w:rsidRPr="0017031E">
        <w:t xml:space="preserve">número de tipos de beneficios: </w:t>
      </w:r>
      <w:r w:rsidRPr="0017031E">
        <w:rPr>
          <w:b/>
          <w:bCs/>
        </w:rPr>
        <w:t>+1.49σ</w:t>
      </w:r>
      <w:r w:rsidRPr="0017031E">
        <w:t>.</w:t>
      </w:r>
    </w:p>
    <w:p w14:paraId="4EE2CB05" w14:textId="77777777" w:rsidR="0017031E" w:rsidRPr="0017031E" w:rsidRDefault="0017031E" w:rsidP="0017031E">
      <w:r w:rsidRPr="0017031E">
        <w:rPr>
          <w:b/>
          <w:bCs/>
        </w:rPr>
        <w:lastRenderedPageBreak/>
        <w:t>Tarjetas periféricas.</w:t>
      </w:r>
      <w:r w:rsidRPr="0017031E">
        <w:t xml:space="preserve"> La más alejada es </w:t>
      </w:r>
      <w:r w:rsidRPr="0017031E">
        <w:rPr>
          <w:b/>
          <w:bCs/>
        </w:rPr>
        <w:t>La Comer Card Banamex</w:t>
      </w:r>
      <w:r w:rsidRPr="0017031E">
        <w:t xml:space="preserve">. Su anualidad es solo $102.50 y además carece de buena parte de los descuentos que caracterizan al </w:t>
      </w:r>
      <w:proofErr w:type="spellStart"/>
      <w:r w:rsidRPr="0017031E">
        <w:t>cluster</w:t>
      </w:r>
      <w:proofErr w:type="spellEnd"/>
      <w:r w:rsidRPr="0017031E">
        <w:t xml:space="preserve">; por otra parte, presenta una acumulación de puntos por peso que la diferencia mucho del resto. Aun </w:t>
      </w:r>
      <w:proofErr w:type="gramStart"/>
      <w:r w:rsidRPr="0017031E">
        <w:t>así</w:t>
      </w:r>
      <w:proofErr w:type="gramEnd"/>
      <w:r w:rsidRPr="0017031E">
        <w:t xml:space="preserve"> conserva la arquitectura Banamex de MSI, preventas, transferencias y comisiones.</w:t>
      </w:r>
    </w:p>
    <w:p w14:paraId="6D93677D" w14:textId="77777777" w:rsidR="0017031E" w:rsidRPr="0017031E" w:rsidRDefault="0017031E" w:rsidP="0017031E">
      <w:r w:rsidRPr="0017031E">
        <w:rPr>
          <w:b/>
          <w:bCs/>
        </w:rPr>
        <w:t>Explora Banamex</w:t>
      </w:r>
      <w:r w:rsidRPr="0017031E">
        <w:t xml:space="preserve"> también es diferente por línea de $50,000 y anualidad $2,725, pero no se separa demasiado en beneficios y comisiones.</w:t>
      </w:r>
    </w:p>
    <w:p w14:paraId="4AF61D19" w14:textId="77777777" w:rsidR="0017031E" w:rsidRPr="0017031E" w:rsidRDefault="0017031E" w:rsidP="0017031E">
      <w:r w:rsidRPr="0017031E">
        <w:rPr>
          <w:b/>
          <w:bCs/>
        </w:rPr>
        <w:t>Costco Banamex</w:t>
      </w:r>
      <w:r w:rsidRPr="0017031E">
        <w:t xml:space="preserve"> tiene una anualidad extraordinariamente baja de </w:t>
      </w:r>
      <w:r w:rsidRPr="0017031E">
        <w:rPr>
          <w:b/>
          <w:bCs/>
        </w:rPr>
        <w:t>$54.17</w:t>
      </w:r>
      <w:r w:rsidRPr="0017031E">
        <w:t>, comparada con la media de $951.57, pero sigue siendo muy central en las demás dimensiones.</w:t>
      </w:r>
    </w:p>
    <w:p w14:paraId="5EC71721" w14:textId="77777777" w:rsidR="0017031E" w:rsidRPr="0017031E" w:rsidRDefault="0017031E" w:rsidP="0017031E">
      <w:r w:rsidRPr="0017031E">
        <w:rPr>
          <w:b/>
          <w:bCs/>
        </w:rPr>
        <w:t>Interpretación:</w:t>
      </w:r>
      <w:r w:rsidRPr="0017031E">
        <w:t xml:space="preserve"> tarjetas con </w:t>
      </w:r>
      <w:r w:rsidRPr="0017031E">
        <w:rPr>
          <w:b/>
          <w:bCs/>
        </w:rPr>
        <w:t>gran amplitud promocional y de beneficios</w:t>
      </w:r>
      <w:r w:rsidRPr="0017031E">
        <w:t xml:space="preserve">, sin requisitos explícitos de score/antigüedad, pero con un </w:t>
      </w:r>
      <w:r w:rsidRPr="0017031E">
        <w:rPr>
          <w:b/>
          <w:bCs/>
        </w:rPr>
        <w:t>costo financiero sistemáticamente alto</w:t>
      </w:r>
      <w:r w:rsidRPr="0017031E">
        <w:t>.</w:t>
      </w:r>
    </w:p>
    <w:p w14:paraId="16CF3F08" w14:textId="77777777" w:rsidR="0017031E" w:rsidRPr="0017031E" w:rsidRDefault="0017031E" w:rsidP="0017031E">
      <w:r w:rsidRPr="0017031E">
        <w:pict w14:anchorId="4BDE9FBE">
          <v:rect id="_x0000_i1064" style="width:0;height:1.5pt" o:hralign="center" o:hrstd="t" o:hr="t" fillcolor="#a0a0a0" stroked="f"/>
        </w:pict>
      </w:r>
    </w:p>
    <w:p w14:paraId="27B1DAEB" w14:textId="77777777" w:rsidR="0017031E" w:rsidRPr="0017031E" w:rsidRDefault="0017031E" w:rsidP="0017031E">
      <w:pPr>
        <w:pStyle w:val="Ttulo2"/>
      </w:pPr>
      <w:r w:rsidRPr="0017031E">
        <w:t>Cluster 4 — Comisiones monetarias altas y transferencia de saldo, con beneficios acotados</w:t>
      </w:r>
    </w:p>
    <w:p w14:paraId="6D282802" w14:textId="77777777" w:rsidR="0017031E" w:rsidRPr="0017031E" w:rsidRDefault="0017031E" w:rsidP="0017031E">
      <w:r w:rsidRPr="0017031E">
        <w:rPr>
          <w:b/>
          <w:bCs/>
        </w:rPr>
        <w:t>Tamaño: 12 tarjetas.</w:t>
      </w:r>
      <w:r w:rsidRPr="0017031E">
        <w:t xml:space="preserve"> Es el grupo institucionalmente más mixto: 41.7% INVEX, 33.3% Afirme, 16.7% HSBC y 8.3% Mifel.</w:t>
      </w:r>
    </w:p>
    <w:p w14:paraId="3893CF3C" w14:textId="77777777" w:rsidR="0017031E" w:rsidRPr="0017031E" w:rsidRDefault="0017031E" w:rsidP="0017031E">
      <w:r w:rsidRPr="0017031E">
        <w:t xml:space="preserve">Su CAT promedio es 71.74%, rango </w:t>
      </w:r>
      <w:r w:rsidRPr="0017031E">
        <w:rPr>
          <w:b/>
          <w:bCs/>
        </w:rPr>
        <w:t>49.6%–101%</w:t>
      </w:r>
      <w:r w:rsidRPr="0017031E">
        <w:t xml:space="preserve">, mediana 72%. La tasa promedio es 50.56%, rango </w:t>
      </w:r>
      <w:r w:rsidRPr="0017031E">
        <w:rPr>
          <w:b/>
          <w:bCs/>
        </w:rPr>
        <w:t>22.2%–76.8%</w:t>
      </w:r>
      <w:r w:rsidRPr="0017031E">
        <w:t>, mediana 46.3%. No hay un costo financiero homogéneo; conviven productos relativamente baratos y otros caros.</w:t>
      </w:r>
    </w:p>
    <w:p w14:paraId="19820A0A" w14:textId="77777777" w:rsidR="0017031E" w:rsidRPr="0017031E" w:rsidRDefault="0017031E" w:rsidP="0017031E">
      <w:r w:rsidRPr="0017031E">
        <w:t xml:space="preserve">La anualidad es más estable: promedio </w:t>
      </w:r>
      <w:r w:rsidRPr="0017031E">
        <w:rPr>
          <w:b/>
          <w:bCs/>
        </w:rPr>
        <w:t>$947.50</w:t>
      </w:r>
      <w:r w:rsidRPr="0017031E">
        <w:t xml:space="preserve">, mediana $850 y rango </w:t>
      </w:r>
      <w:r w:rsidRPr="0017031E">
        <w:rPr>
          <w:b/>
          <w:bCs/>
        </w:rPr>
        <w:t>$0–$2,000</w:t>
      </w:r>
      <w:r w:rsidRPr="0017031E">
        <w:t xml:space="preserve">. La línea inicial es relativamente baja: promedio </w:t>
      </w:r>
      <w:r w:rsidRPr="0017031E">
        <w:rPr>
          <w:b/>
          <w:bCs/>
        </w:rPr>
        <w:t>$8,250</w:t>
      </w:r>
      <w:r w:rsidRPr="0017031E">
        <w:t>, mediana $7,000 y rango $5,000–$20,000.</w:t>
      </w:r>
    </w:p>
    <w:p w14:paraId="2CC7E1EC" w14:textId="77777777" w:rsidR="0017031E" w:rsidRPr="0017031E" w:rsidRDefault="0017031E" w:rsidP="0017031E">
      <w:r w:rsidRPr="0017031E">
        <w:t xml:space="preserve">La mayoría no exige score: solo </w:t>
      </w:r>
      <w:r w:rsidRPr="0017031E">
        <w:rPr>
          <w:b/>
          <w:bCs/>
        </w:rPr>
        <w:t>3 de 12 tarjetas (25%)</w:t>
      </w:r>
      <w:r w:rsidRPr="0017031E">
        <w:t xml:space="preserve"> lo hacen. Por ello la media codificada es apenas 138.8, aunque las que sí piden score llegan a 664. El ingreso mínimo promedio es $8,708, rango $5,000–$20,000.</w:t>
      </w:r>
    </w:p>
    <w:p w14:paraId="0B32EEBC" w14:textId="77777777" w:rsidR="0017031E" w:rsidRPr="0017031E" w:rsidRDefault="0017031E" w:rsidP="0017031E">
      <w:r w:rsidRPr="0017031E">
        <w:t xml:space="preserve">Los beneficios son relativamente poco diversos: </w:t>
      </w:r>
      <w:r w:rsidRPr="0017031E">
        <w:rPr>
          <w:b/>
          <w:bCs/>
        </w:rPr>
        <w:t>2.08 tipos promedio</w:t>
      </w:r>
      <w:r w:rsidRPr="0017031E">
        <w:t xml:space="preserve">, mediana 2, rango 1–5. El 58.3% tiene transferencia de saldo. Al incluir los ceros, la tasa mínima de transferencia promedia 12.5%; entre las tarjetas que sí ofrecen este beneficio puede alcanzar </w:t>
      </w:r>
      <w:r w:rsidRPr="0017031E">
        <w:rPr>
          <w:b/>
          <w:bCs/>
        </w:rPr>
        <w:t>49%</w:t>
      </w:r>
      <w:r w:rsidRPr="0017031E">
        <w:t>.</w:t>
      </w:r>
    </w:p>
    <w:p w14:paraId="3BFD472A" w14:textId="77777777" w:rsidR="0017031E" w:rsidRPr="0017031E" w:rsidRDefault="0017031E" w:rsidP="0017031E">
      <w:r w:rsidRPr="0017031E">
        <w:t xml:space="preserve">La verdadera característica de este grupo son las </w:t>
      </w:r>
      <w:r w:rsidRPr="0017031E">
        <w:rPr>
          <w:b/>
          <w:bCs/>
        </w:rPr>
        <w:t>comisiones expresadas en pesos</w:t>
      </w:r>
      <w:r w:rsidRPr="0017031E">
        <w:t>:</w:t>
      </w:r>
    </w:p>
    <w:p w14:paraId="7E9FD7D1" w14:textId="77777777" w:rsidR="0017031E" w:rsidRPr="0017031E" w:rsidRDefault="0017031E" w:rsidP="0017031E">
      <w:pPr>
        <w:numPr>
          <w:ilvl w:val="0"/>
          <w:numId w:val="5"/>
        </w:numPr>
      </w:pPr>
      <w:r w:rsidRPr="0017031E">
        <w:lastRenderedPageBreak/>
        <w:t xml:space="preserve">comisiones por evento: promedio </w:t>
      </w:r>
      <w:r w:rsidRPr="0017031E">
        <w:rPr>
          <w:b/>
          <w:bCs/>
        </w:rPr>
        <w:t>$300.50</w:t>
      </w:r>
      <w:r w:rsidRPr="0017031E">
        <w:t>, rango $130–$400;</w:t>
      </w:r>
    </w:p>
    <w:p w14:paraId="55276AA8" w14:textId="77777777" w:rsidR="0017031E" w:rsidRPr="0017031E" w:rsidRDefault="0017031E" w:rsidP="0017031E">
      <w:pPr>
        <w:numPr>
          <w:ilvl w:val="0"/>
          <w:numId w:val="5"/>
        </w:numPr>
      </w:pPr>
      <w:r w:rsidRPr="0017031E">
        <w:t xml:space="preserve">penalizaciones agregadas: promedio </w:t>
      </w:r>
      <w:r w:rsidRPr="0017031E">
        <w:rPr>
          <w:b/>
          <w:bCs/>
        </w:rPr>
        <w:t>$1,322</w:t>
      </w:r>
      <w:r w:rsidRPr="0017031E">
        <w:t>, rango $625–$1,845;</w:t>
      </w:r>
    </w:p>
    <w:p w14:paraId="64338113" w14:textId="77777777" w:rsidR="0017031E" w:rsidRPr="0017031E" w:rsidRDefault="0017031E" w:rsidP="0017031E">
      <w:pPr>
        <w:numPr>
          <w:ilvl w:val="0"/>
          <w:numId w:val="5"/>
        </w:numPr>
      </w:pPr>
      <w:r w:rsidRPr="0017031E">
        <w:t xml:space="preserve">aclaración improcedente: promedio </w:t>
      </w:r>
      <w:r w:rsidRPr="0017031E">
        <w:rPr>
          <w:b/>
          <w:bCs/>
        </w:rPr>
        <w:t>$272.50</w:t>
      </w:r>
      <w:r w:rsidRPr="0017031E">
        <w:t>, rango $200–$300;</w:t>
      </w:r>
    </w:p>
    <w:p w14:paraId="26EBB223" w14:textId="77777777" w:rsidR="0017031E" w:rsidRPr="0017031E" w:rsidRDefault="0017031E" w:rsidP="0017031E">
      <w:pPr>
        <w:numPr>
          <w:ilvl w:val="0"/>
          <w:numId w:val="5"/>
        </w:numPr>
      </w:pPr>
      <w:r w:rsidRPr="0017031E">
        <w:t xml:space="preserve">reposición por desgaste: promedio </w:t>
      </w:r>
      <w:r w:rsidRPr="0017031E">
        <w:rPr>
          <w:b/>
          <w:bCs/>
        </w:rPr>
        <w:t>$119.83</w:t>
      </w:r>
      <w:r w:rsidRPr="0017031E">
        <w:t>, rango $0–$200;</w:t>
      </w:r>
    </w:p>
    <w:p w14:paraId="3B1DA256" w14:textId="77777777" w:rsidR="0017031E" w:rsidRPr="0017031E" w:rsidRDefault="0017031E" w:rsidP="0017031E">
      <w:pPr>
        <w:numPr>
          <w:ilvl w:val="0"/>
          <w:numId w:val="5"/>
        </w:numPr>
      </w:pPr>
      <w:r w:rsidRPr="0017031E">
        <w:t xml:space="preserve">reposición por robo/extravío: promedio </w:t>
      </w:r>
      <w:r w:rsidRPr="0017031E">
        <w:rPr>
          <w:b/>
          <w:bCs/>
        </w:rPr>
        <w:t>$180.67</w:t>
      </w:r>
      <w:r w:rsidRPr="0017031E">
        <w:t>, rango $130–$200.</w:t>
      </w:r>
    </w:p>
    <w:p w14:paraId="7AE98ADD" w14:textId="77777777" w:rsidR="0017031E" w:rsidRPr="0017031E" w:rsidRDefault="0017031E" w:rsidP="0017031E">
      <w:r w:rsidRPr="0017031E">
        <w:t>En el Top 30 aparecen precisamente como señales principales:</w:t>
      </w:r>
    </w:p>
    <w:p w14:paraId="6C814761" w14:textId="77777777" w:rsidR="0017031E" w:rsidRPr="0017031E" w:rsidRDefault="0017031E" w:rsidP="0017031E">
      <w:pPr>
        <w:numPr>
          <w:ilvl w:val="0"/>
          <w:numId w:val="6"/>
        </w:numPr>
      </w:pPr>
      <w:r w:rsidRPr="0017031E">
        <w:t xml:space="preserve">aclaración improcedente: </w:t>
      </w:r>
      <w:r w:rsidRPr="0017031E">
        <w:rPr>
          <w:b/>
          <w:bCs/>
        </w:rPr>
        <w:t>+1.57σ</w:t>
      </w:r>
      <w:r w:rsidRPr="0017031E">
        <w:t>;</w:t>
      </w:r>
    </w:p>
    <w:p w14:paraId="369C4143" w14:textId="77777777" w:rsidR="0017031E" w:rsidRPr="0017031E" w:rsidRDefault="0017031E" w:rsidP="0017031E">
      <w:pPr>
        <w:numPr>
          <w:ilvl w:val="0"/>
          <w:numId w:val="6"/>
        </w:numPr>
      </w:pPr>
      <w:r w:rsidRPr="0017031E">
        <w:t xml:space="preserve">comisiones por evento en pesos: </w:t>
      </w:r>
      <w:r w:rsidRPr="0017031E">
        <w:rPr>
          <w:b/>
          <w:bCs/>
        </w:rPr>
        <w:t>+1.53σ</w:t>
      </w:r>
      <w:r w:rsidRPr="0017031E">
        <w:t>;</w:t>
      </w:r>
    </w:p>
    <w:p w14:paraId="238065E8" w14:textId="77777777" w:rsidR="0017031E" w:rsidRPr="0017031E" w:rsidRDefault="0017031E" w:rsidP="0017031E">
      <w:pPr>
        <w:numPr>
          <w:ilvl w:val="0"/>
          <w:numId w:val="6"/>
        </w:numPr>
      </w:pPr>
      <w:r w:rsidRPr="0017031E">
        <w:t>reposición por robo/extravío: +1.01σ;</w:t>
      </w:r>
    </w:p>
    <w:p w14:paraId="0FD24276" w14:textId="77777777" w:rsidR="0017031E" w:rsidRPr="0017031E" w:rsidRDefault="0017031E" w:rsidP="0017031E">
      <w:pPr>
        <w:numPr>
          <w:ilvl w:val="0"/>
          <w:numId w:val="6"/>
        </w:numPr>
      </w:pPr>
      <w:r w:rsidRPr="0017031E">
        <w:t>penalizaciones: +0.90σ.</w:t>
      </w:r>
    </w:p>
    <w:p w14:paraId="104C5FCB" w14:textId="77777777" w:rsidR="0017031E" w:rsidRPr="0017031E" w:rsidRDefault="0017031E" w:rsidP="0017031E">
      <w:r w:rsidRPr="0017031E">
        <w:rPr>
          <w:b/>
          <w:bCs/>
        </w:rPr>
        <w:t>Tarjetas periféricas.</w:t>
      </w:r>
      <w:r w:rsidRPr="0017031E">
        <w:t xml:space="preserve"> La más diferente es </w:t>
      </w:r>
      <w:r w:rsidRPr="0017031E">
        <w:rPr>
          <w:b/>
          <w:bCs/>
        </w:rPr>
        <w:t>Mifel Leones</w:t>
      </w:r>
      <w:r w:rsidRPr="0017031E">
        <w:t xml:space="preserve">. Tiene </w:t>
      </w:r>
      <w:r w:rsidRPr="0017031E">
        <w:rPr>
          <w:b/>
          <w:bCs/>
        </w:rPr>
        <w:t>5 tipos de beneficio frente a 2.08 promedio</w:t>
      </w:r>
      <w:r w:rsidRPr="0017031E">
        <w:t>, score mínimo 664 y una tasa de transferencia de saldo que llega a 49%; se parece poco al centro en beneficios y requisitos.</w:t>
      </w:r>
    </w:p>
    <w:p w14:paraId="5D03A7B1" w14:textId="77777777" w:rsidR="0017031E" w:rsidRPr="0017031E" w:rsidRDefault="0017031E" w:rsidP="0017031E">
      <w:r w:rsidRPr="0017031E">
        <w:rPr>
          <w:b/>
          <w:bCs/>
        </w:rPr>
        <w:t xml:space="preserve">Afirme </w:t>
      </w:r>
      <w:proofErr w:type="spellStart"/>
      <w:r w:rsidRPr="0017031E">
        <w:rPr>
          <w:b/>
          <w:bCs/>
        </w:rPr>
        <w:t>Construrama</w:t>
      </w:r>
      <w:proofErr w:type="spellEnd"/>
      <w:r w:rsidRPr="0017031E">
        <w:t xml:space="preserve"> también queda en la periferia: CAT 101% y tasa 76.8%, muy por encima de las medias del </w:t>
      </w:r>
      <w:proofErr w:type="spellStart"/>
      <w:r w:rsidRPr="0017031E">
        <w:t>cluster</w:t>
      </w:r>
      <w:proofErr w:type="spellEnd"/>
      <w:r w:rsidRPr="0017031E">
        <w:t>, además de presentar requisitos residenciales diferentes.</w:t>
      </w:r>
    </w:p>
    <w:p w14:paraId="70450CEF" w14:textId="77777777" w:rsidR="0017031E" w:rsidRPr="0017031E" w:rsidRDefault="0017031E" w:rsidP="0017031E">
      <w:r w:rsidRPr="0017031E">
        <w:rPr>
          <w:b/>
          <w:bCs/>
        </w:rPr>
        <w:t>HSBC Oro</w:t>
      </w:r>
      <w:r w:rsidRPr="0017031E">
        <w:t xml:space="preserve"> se desvía en la dirección opuesta: tasa 22.2%, la mínima del </w:t>
      </w:r>
      <w:proofErr w:type="spellStart"/>
      <w:r w:rsidRPr="0017031E">
        <w:t>cluster</w:t>
      </w:r>
      <w:proofErr w:type="spellEnd"/>
      <w:r w:rsidRPr="0017031E">
        <w:t>.</w:t>
      </w:r>
    </w:p>
    <w:p w14:paraId="240E32A6" w14:textId="77777777" w:rsidR="0017031E" w:rsidRPr="0017031E" w:rsidRDefault="0017031E" w:rsidP="0017031E">
      <w:r w:rsidRPr="0017031E">
        <w:t xml:space="preserve">Finalmente, </w:t>
      </w:r>
      <w:r w:rsidRPr="0017031E">
        <w:rPr>
          <w:b/>
          <w:bCs/>
        </w:rPr>
        <w:t>Mercado Libre INVEX tiene $0 de anualidad</w:t>
      </w:r>
      <w:r w:rsidRPr="0017031E">
        <w:t>, aunque el grupo promedia $947.50. Su permanencia se explica mejor por las comisiones, línea y estructura de beneficios que por el costo fijo.</w:t>
      </w:r>
    </w:p>
    <w:p w14:paraId="4FB9CDAA" w14:textId="77777777" w:rsidR="0017031E" w:rsidRPr="0017031E" w:rsidRDefault="0017031E" w:rsidP="0017031E">
      <w:r w:rsidRPr="0017031E">
        <w:rPr>
          <w:b/>
          <w:bCs/>
        </w:rPr>
        <w:t>Interpretación:</w:t>
      </w:r>
      <w:r w:rsidRPr="0017031E">
        <w:t xml:space="preserve"> grupo intermedio y heterogéneo en CAT/tasa, pero unido por </w:t>
      </w:r>
      <w:r w:rsidRPr="0017031E">
        <w:rPr>
          <w:b/>
          <w:bCs/>
        </w:rPr>
        <w:t>comisiones monetarias relativamente elevadas</w:t>
      </w:r>
      <w:r w:rsidRPr="0017031E">
        <w:t>, pocos beneficios y presencia frecuente de transferencia de saldo.</w:t>
      </w:r>
    </w:p>
    <w:p w14:paraId="2613D7EA" w14:textId="77777777" w:rsidR="0017031E" w:rsidRPr="0017031E" w:rsidRDefault="0017031E" w:rsidP="0017031E">
      <w:r w:rsidRPr="0017031E">
        <w:pict w14:anchorId="36A30C92">
          <v:rect id="_x0000_i1065" style="width:0;height:1.5pt" o:hralign="center" o:hrstd="t" o:hr="t" fillcolor="#a0a0a0" stroked="f"/>
        </w:pict>
      </w:r>
    </w:p>
    <w:p w14:paraId="624EE7B9" w14:textId="77777777" w:rsidR="0017031E" w:rsidRPr="0017031E" w:rsidRDefault="0017031E" w:rsidP="0017031E">
      <w:pPr>
        <w:pStyle w:val="Ttulo2"/>
      </w:pPr>
      <w:r w:rsidRPr="0017031E">
        <w:t>Cluster 5 — Baja tasa y CAT, pero anualidad y penalizaciones elevadas</w:t>
      </w:r>
    </w:p>
    <w:p w14:paraId="081C9B7F" w14:textId="77777777" w:rsidR="0017031E" w:rsidRPr="0017031E" w:rsidRDefault="0017031E" w:rsidP="0017031E">
      <w:r w:rsidRPr="0017031E">
        <w:rPr>
          <w:b/>
          <w:bCs/>
        </w:rPr>
        <w:t>Tamaño: 10 tarjetas. 100% INVEX.</w:t>
      </w:r>
    </w:p>
    <w:p w14:paraId="4C861135" w14:textId="77777777" w:rsidR="0017031E" w:rsidRPr="0017031E" w:rsidRDefault="0017031E" w:rsidP="0017031E">
      <w:r w:rsidRPr="0017031E">
        <w:t>Este grupo tiene una relación costo-beneficio completamente distinta a los demás.</w:t>
      </w:r>
    </w:p>
    <w:p w14:paraId="4E4EEF53" w14:textId="77777777" w:rsidR="0017031E" w:rsidRPr="0017031E" w:rsidRDefault="0017031E" w:rsidP="0017031E">
      <w:r w:rsidRPr="0017031E">
        <w:lastRenderedPageBreak/>
        <w:t xml:space="preserve">El CAT promedio es </w:t>
      </w:r>
      <w:r w:rsidRPr="0017031E">
        <w:rPr>
          <w:b/>
          <w:bCs/>
        </w:rPr>
        <w:t>42.92%</w:t>
      </w:r>
      <w:r w:rsidRPr="0017031E">
        <w:t xml:space="preserve">, el más bajo de los seis y muy por debajo del segundo más bajo (~70.45%). Su rango es </w:t>
      </w:r>
      <w:r w:rsidRPr="0017031E">
        <w:rPr>
          <w:b/>
          <w:bCs/>
        </w:rPr>
        <w:t>32.8%–74%</w:t>
      </w:r>
      <w:r w:rsidRPr="0017031E">
        <w:t>, mediana 39.65%.</w:t>
      </w:r>
    </w:p>
    <w:p w14:paraId="45403186" w14:textId="77777777" w:rsidR="0017031E" w:rsidRPr="0017031E" w:rsidRDefault="0017031E" w:rsidP="0017031E">
      <w:r w:rsidRPr="0017031E">
        <w:t xml:space="preserve">La tasa de interés es también la más baja: promedio </w:t>
      </w:r>
      <w:r w:rsidRPr="0017031E">
        <w:rPr>
          <w:b/>
          <w:bCs/>
        </w:rPr>
        <w:t>28.64%</w:t>
      </w:r>
      <w:r w:rsidRPr="0017031E">
        <w:t xml:space="preserve">, rango </w:t>
      </w:r>
      <w:r w:rsidRPr="0017031E">
        <w:rPr>
          <w:b/>
          <w:bCs/>
        </w:rPr>
        <w:t>24.3%–41.8%</w:t>
      </w:r>
      <w:r w:rsidRPr="0017031E">
        <w:t xml:space="preserve">, mediana 27.2%. Esto permite decir con bastante precisión que el </w:t>
      </w:r>
      <w:proofErr w:type="spellStart"/>
      <w:r w:rsidRPr="0017031E">
        <w:t>cluster</w:t>
      </w:r>
      <w:proofErr w:type="spellEnd"/>
      <w:r w:rsidRPr="0017031E">
        <w:t xml:space="preserve"> representa productos de </w:t>
      </w:r>
      <w:r w:rsidRPr="0017031E">
        <w:rPr>
          <w:b/>
          <w:bCs/>
        </w:rPr>
        <w:t>bajo costo financiero relativo</w:t>
      </w:r>
      <w:r w:rsidRPr="0017031E">
        <w:t>, no solo “algo más baratos”.</w:t>
      </w:r>
    </w:p>
    <w:p w14:paraId="4AB8AA82" w14:textId="77777777" w:rsidR="0017031E" w:rsidRPr="0017031E" w:rsidRDefault="0017031E" w:rsidP="0017031E">
      <w:r w:rsidRPr="0017031E">
        <w:t xml:space="preserve">A cambio, tiene la </w:t>
      </w:r>
      <w:r w:rsidRPr="0017031E">
        <w:rPr>
          <w:b/>
          <w:bCs/>
        </w:rPr>
        <w:t>anualidad promedio más alta de todo el modelo</w:t>
      </w:r>
      <w:r w:rsidRPr="0017031E">
        <w:t xml:space="preserve">: </w:t>
      </w:r>
      <w:r w:rsidRPr="0017031E">
        <w:rPr>
          <w:b/>
          <w:bCs/>
        </w:rPr>
        <w:t>$3,276</w:t>
      </w:r>
      <w:r w:rsidRPr="0017031E">
        <w:t xml:space="preserve">, mediana $3,395 y rango </w:t>
      </w:r>
      <w:r w:rsidRPr="0017031E">
        <w:rPr>
          <w:b/>
          <w:bCs/>
        </w:rPr>
        <w:t>$892–$7,000</w:t>
      </w:r>
      <w:r w:rsidRPr="0017031E">
        <w:t>.</w:t>
      </w:r>
    </w:p>
    <w:p w14:paraId="29722C59" w14:textId="77777777" w:rsidR="0017031E" w:rsidRPr="0017031E" w:rsidRDefault="0017031E" w:rsidP="0017031E">
      <w:r w:rsidRPr="0017031E">
        <w:t xml:space="preserve">La línea inicial promedio de $16,300 resulta engañosa: la mediana es solamente </w:t>
      </w:r>
      <w:r w:rsidRPr="0017031E">
        <w:rPr>
          <w:b/>
          <w:bCs/>
        </w:rPr>
        <w:t>$7,000</w:t>
      </w:r>
      <w:r w:rsidRPr="0017031E">
        <w:t xml:space="preserve"> y nueve de las diez tarjetas están alrededor de ese nivel; INVEX </w:t>
      </w:r>
      <w:proofErr w:type="spellStart"/>
      <w:r w:rsidRPr="0017031E">
        <w:t>AAdvantage</w:t>
      </w:r>
      <w:proofErr w:type="spellEnd"/>
      <w:r w:rsidRPr="0017031E">
        <w:t xml:space="preserve"> World Elite, con $100,000, eleva fuertemente el promedio.</w:t>
      </w:r>
    </w:p>
    <w:p w14:paraId="1C1C141F" w14:textId="77777777" w:rsidR="0017031E" w:rsidRPr="0017031E" w:rsidRDefault="0017031E" w:rsidP="0017031E">
      <w:r w:rsidRPr="0017031E">
        <w:t xml:space="preserve">Ninguna tarjeta exige score y el ingreso mínimo es extraordinariamente homogéneo: </w:t>
      </w:r>
      <w:r w:rsidRPr="0017031E">
        <w:rPr>
          <w:b/>
          <w:bCs/>
        </w:rPr>
        <w:t>$5,000 en las diez tarjetas</w:t>
      </w:r>
      <w:r w:rsidRPr="0017031E">
        <w:t>.</w:t>
      </w:r>
    </w:p>
    <w:p w14:paraId="7C3CAF2B" w14:textId="77777777" w:rsidR="0017031E" w:rsidRPr="0017031E" w:rsidRDefault="0017031E" w:rsidP="0017031E">
      <w:r w:rsidRPr="0017031E">
        <w:t xml:space="preserve">En beneficios es el grupo más sencillo de todo el modelo: </w:t>
      </w:r>
      <w:r w:rsidRPr="0017031E">
        <w:rPr>
          <w:b/>
          <w:bCs/>
        </w:rPr>
        <w:t>exactamente 1 tipo de beneficio en las 10 tarjetas</w:t>
      </w:r>
      <w:r w:rsidRPr="0017031E">
        <w:t>. No aparecen puntos por peso, puntos por dólar ni transferencia de saldo. La oferta está concentrada fundamentalmente en MSI: 4–5 categorías de viaje y 5–6 categorías de consumo.</w:t>
      </w:r>
    </w:p>
    <w:p w14:paraId="3F18F085" w14:textId="77777777" w:rsidR="0017031E" w:rsidRPr="0017031E" w:rsidRDefault="0017031E" w:rsidP="0017031E">
      <w:r w:rsidRPr="0017031E">
        <w:t>Las comisiones son, en cambio, muy altas y homogéneas:</w:t>
      </w:r>
    </w:p>
    <w:p w14:paraId="3ACFE75F" w14:textId="77777777" w:rsidR="0017031E" w:rsidRPr="0017031E" w:rsidRDefault="0017031E" w:rsidP="0017031E">
      <w:pPr>
        <w:numPr>
          <w:ilvl w:val="0"/>
          <w:numId w:val="7"/>
        </w:numPr>
      </w:pPr>
      <w:r w:rsidRPr="0017031E">
        <w:t xml:space="preserve">falta de pago: </w:t>
      </w:r>
      <w:r w:rsidRPr="0017031E">
        <w:rPr>
          <w:b/>
          <w:bCs/>
        </w:rPr>
        <w:t>$895 en todas las tarjetas</w:t>
      </w:r>
      <w:r w:rsidRPr="0017031E">
        <w:t>;</w:t>
      </w:r>
    </w:p>
    <w:p w14:paraId="54EC052C" w14:textId="77777777" w:rsidR="0017031E" w:rsidRPr="0017031E" w:rsidRDefault="0017031E" w:rsidP="0017031E">
      <w:pPr>
        <w:numPr>
          <w:ilvl w:val="0"/>
          <w:numId w:val="7"/>
        </w:numPr>
      </w:pPr>
      <w:r w:rsidRPr="0017031E">
        <w:t xml:space="preserve">pago tardío: </w:t>
      </w:r>
      <w:r w:rsidRPr="0017031E">
        <w:rPr>
          <w:b/>
          <w:bCs/>
        </w:rPr>
        <w:t>$650 en todas</w:t>
      </w:r>
      <w:r w:rsidRPr="0017031E">
        <w:t>;</w:t>
      </w:r>
    </w:p>
    <w:p w14:paraId="7D8F44C5" w14:textId="77777777" w:rsidR="0017031E" w:rsidRPr="0017031E" w:rsidRDefault="0017031E" w:rsidP="0017031E">
      <w:pPr>
        <w:numPr>
          <w:ilvl w:val="0"/>
          <w:numId w:val="7"/>
        </w:numPr>
      </w:pPr>
      <w:r w:rsidRPr="0017031E">
        <w:t>anualidad adicional: promedio $1,643.90, rango $504–$3,500;</w:t>
      </w:r>
    </w:p>
    <w:p w14:paraId="7C4E26F5" w14:textId="77777777" w:rsidR="0017031E" w:rsidRPr="0017031E" w:rsidRDefault="0017031E" w:rsidP="0017031E">
      <w:pPr>
        <w:numPr>
          <w:ilvl w:val="0"/>
          <w:numId w:val="7"/>
        </w:numPr>
      </w:pPr>
      <w:r w:rsidRPr="0017031E">
        <w:t>comisión/anualidad titular: promedio $3,276, rango $892–$7,000;</w:t>
      </w:r>
    </w:p>
    <w:p w14:paraId="5D398CB3" w14:textId="77777777" w:rsidR="0017031E" w:rsidRPr="0017031E" w:rsidRDefault="0017031E" w:rsidP="0017031E">
      <w:pPr>
        <w:numPr>
          <w:ilvl w:val="0"/>
          <w:numId w:val="7"/>
        </w:numPr>
      </w:pPr>
      <w:r w:rsidRPr="0017031E">
        <w:t xml:space="preserve">suma de comisiones obligatorias: promedio </w:t>
      </w:r>
      <w:r w:rsidRPr="0017031E">
        <w:rPr>
          <w:b/>
          <w:bCs/>
        </w:rPr>
        <w:t>$4,920</w:t>
      </w:r>
      <w:r w:rsidRPr="0017031E">
        <w:t>, rango $1,396–$10,500;</w:t>
      </w:r>
    </w:p>
    <w:p w14:paraId="03D78712" w14:textId="77777777" w:rsidR="0017031E" w:rsidRPr="0017031E" w:rsidRDefault="0017031E" w:rsidP="0017031E">
      <w:pPr>
        <w:numPr>
          <w:ilvl w:val="0"/>
          <w:numId w:val="7"/>
        </w:numPr>
      </w:pPr>
      <w:r w:rsidRPr="0017031E">
        <w:t xml:space="preserve">penalización agregada: </w:t>
      </w:r>
      <w:r w:rsidRPr="0017031E">
        <w:rPr>
          <w:b/>
          <w:bCs/>
        </w:rPr>
        <w:t>$1,545 en todas</w:t>
      </w:r>
      <w:r w:rsidRPr="0017031E">
        <w:t>.</w:t>
      </w:r>
    </w:p>
    <w:p w14:paraId="7E65816C" w14:textId="77777777" w:rsidR="0017031E" w:rsidRPr="0017031E" w:rsidRDefault="0017031E" w:rsidP="0017031E">
      <w:r w:rsidRPr="0017031E">
        <w:t>En variables estandarizadas, sus señales son muy claras:</w:t>
      </w:r>
    </w:p>
    <w:p w14:paraId="1722FBCE" w14:textId="77777777" w:rsidR="0017031E" w:rsidRPr="0017031E" w:rsidRDefault="0017031E" w:rsidP="0017031E">
      <w:pPr>
        <w:numPr>
          <w:ilvl w:val="0"/>
          <w:numId w:val="8"/>
        </w:numPr>
      </w:pPr>
      <w:r w:rsidRPr="0017031E">
        <w:t xml:space="preserve">falta de pago: </w:t>
      </w:r>
      <w:r w:rsidRPr="0017031E">
        <w:rPr>
          <w:b/>
          <w:bCs/>
        </w:rPr>
        <w:t>+1.62σ</w:t>
      </w:r>
      <w:r w:rsidRPr="0017031E">
        <w:t>;</w:t>
      </w:r>
    </w:p>
    <w:p w14:paraId="3422D325" w14:textId="77777777" w:rsidR="0017031E" w:rsidRPr="0017031E" w:rsidRDefault="0017031E" w:rsidP="0017031E">
      <w:pPr>
        <w:numPr>
          <w:ilvl w:val="0"/>
          <w:numId w:val="8"/>
        </w:numPr>
      </w:pPr>
      <w:r w:rsidRPr="0017031E">
        <w:t xml:space="preserve">anualidad adicional: </w:t>
      </w:r>
      <w:r w:rsidRPr="0017031E">
        <w:rPr>
          <w:b/>
          <w:bCs/>
        </w:rPr>
        <w:t>+1.61σ</w:t>
      </w:r>
      <w:r w:rsidRPr="0017031E">
        <w:t>;</w:t>
      </w:r>
    </w:p>
    <w:p w14:paraId="370B0CF5" w14:textId="77777777" w:rsidR="0017031E" w:rsidRPr="0017031E" w:rsidRDefault="0017031E" w:rsidP="0017031E">
      <w:pPr>
        <w:numPr>
          <w:ilvl w:val="0"/>
          <w:numId w:val="8"/>
        </w:numPr>
      </w:pPr>
      <w:r w:rsidRPr="0017031E">
        <w:t xml:space="preserve">penalizaciones: </w:t>
      </w:r>
      <w:r w:rsidRPr="0017031E">
        <w:rPr>
          <w:b/>
          <w:bCs/>
        </w:rPr>
        <w:t>+1.37σ</w:t>
      </w:r>
      <w:r w:rsidRPr="0017031E">
        <w:t>;</w:t>
      </w:r>
    </w:p>
    <w:p w14:paraId="3DFCD6AA" w14:textId="77777777" w:rsidR="0017031E" w:rsidRPr="0017031E" w:rsidRDefault="0017031E" w:rsidP="0017031E">
      <w:pPr>
        <w:numPr>
          <w:ilvl w:val="0"/>
          <w:numId w:val="8"/>
        </w:numPr>
      </w:pPr>
      <w:r w:rsidRPr="0017031E">
        <w:t xml:space="preserve">número de tipos de beneficio: </w:t>
      </w:r>
      <w:r w:rsidRPr="0017031E">
        <w:rPr>
          <w:b/>
          <w:bCs/>
        </w:rPr>
        <w:t>−1.36σ</w:t>
      </w:r>
      <w:r w:rsidRPr="0017031E">
        <w:t>;</w:t>
      </w:r>
    </w:p>
    <w:p w14:paraId="27C4126C" w14:textId="77777777" w:rsidR="0017031E" w:rsidRPr="0017031E" w:rsidRDefault="0017031E" w:rsidP="0017031E">
      <w:pPr>
        <w:numPr>
          <w:ilvl w:val="0"/>
          <w:numId w:val="8"/>
        </w:numPr>
      </w:pPr>
      <w:r w:rsidRPr="0017031E">
        <w:t xml:space="preserve">tasa de interés: </w:t>
      </w:r>
      <w:r w:rsidRPr="0017031E">
        <w:rPr>
          <w:b/>
          <w:bCs/>
        </w:rPr>
        <w:t>−1.32σ</w:t>
      </w:r>
      <w:r w:rsidRPr="0017031E">
        <w:t>.</w:t>
      </w:r>
    </w:p>
    <w:p w14:paraId="28038AD5" w14:textId="77777777" w:rsidR="0017031E" w:rsidRPr="0017031E" w:rsidRDefault="0017031E" w:rsidP="0017031E">
      <w:r w:rsidRPr="0017031E">
        <w:rPr>
          <w:b/>
          <w:bCs/>
        </w:rPr>
        <w:lastRenderedPageBreak/>
        <w:t>Tarjetas periféricas.</w:t>
      </w:r>
      <w:r w:rsidRPr="0017031E">
        <w:t xml:space="preserve"> </w:t>
      </w:r>
      <w:r w:rsidRPr="0017031E">
        <w:rPr>
          <w:b/>
          <w:bCs/>
        </w:rPr>
        <w:t xml:space="preserve">INVEX </w:t>
      </w:r>
      <w:proofErr w:type="spellStart"/>
      <w:r w:rsidRPr="0017031E">
        <w:rPr>
          <w:b/>
          <w:bCs/>
        </w:rPr>
        <w:t>AAdvantage</w:t>
      </w:r>
      <w:proofErr w:type="spellEnd"/>
      <w:r w:rsidRPr="0017031E">
        <w:rPr>
          <w:b/>
          <w:bCs/>
        </w:rPr>
        <w:t xml:space="preserve"> World Elite</w:t>
      </w:r>
      <w:r w:rsidRPr="0017031E">
        <w:t xml:space="preserve"> es claramente la más extrema: anualidad $7,000 y línea inicial $100,000, frente a medianas de $3,395 y $7,000 respectivamente. Aun </w:t>
      </w:r>
      <w:proofErr w:type="gramStart"/>
      <w:r w:rsidRPr="0017031E">
        <w:t>así</w:t>
      </w:r>
      <w:proofErr w:type="gramEnd"/>
      <w:r w:rsidRPr="0017031E">
        <w:t xml:space="preserve"> comparte perfectamente el patrón central de bajo CAT/tasa, un único tipo de beneficio y estructura de comisiones INVEX.</w:t>
      </w:r>
    </w:p>
    <w:p w14:paraId="2AF1DFCD" w14:textId="77777777" w:rsidR="0017031E" w:rsidRPr="0017031E" w:rsidRDefault="0017031E" w:rsidP="0017031E">
      <w:r w:rsidRPr="0017031E">
        <w:rPr>
          <w:b/>
          <w:bCs/>
        </w:rPr>
        <w:t>CIBanco Oro</w:t>
      </w:r>
      <w:r w:rsidRPr="0017031E">
        <w:t xml:space="preserve"> también se aparta del perfil: CAT 74% y tasa 41.8%, ambos máximos del grupo, mientras su anualidad de $1,381 está muy por debajo de la media. Matemáticamente es una tarjeta fronteriza dentro del </w:t>
      </w:r>
      <w:proofErr w:type="spellStart"/>
      <w:r w:rsidRPr="0017031E">
        <w:t>cluster</w:t>
      </w:r>
      <w:proofErr w:type="spellEnd"/>
      <w:r w:rsidRPr="0017031E">
        <w:t>.</w:t>
      </w:r>
    </w:p>
    <w:p w14:paraId="1C238DD2" w14:textId="77777777" w:rsidR="0017031E" w:rsidRPr="0017031E" w:rsidRDefault="0017031E" w:rsidP="0017031E">
      <w:r w:rsidRPr="0017031E">
        <w:rPr>
          <w:b/>
          <w:bCs/>
        </w:rPr>
        <w:t>MI BANCO</w:t>
      </w:r>
      <w:r w:rsidRPr="0017031E">
        <w:t xml:space="preserve"> tiene la anualidad mínima del grupo, $892, pero mantiene la estructura de tasa, requisitos y beneficios.</w:t>
      </w:r>
    </w:p>
    <w:p w14:paraId="1B047CAB" w14:textId="77777777" w:rsidR="0017031E" w:rsidRPr="0017031E" w:rsidRDefault="0017031E" w:rsidP="0017031E">
      <w:r w:rsidRPr="0017031E">
        <w:rPr>
          <w:b/>
          <w:bCs/>
        </w:rPr>
        <w:t>Interpretación:</w:t>
      </w:r>
      <w:r w:rsidRPr="0017031E">
        <w:t xml:space="preserve"> productos que intercambian </w:t>
      </w:r>
      <w:r w:rsidRPr="0017031E">
        <w:rPr>
          <w:b/>
          <w:bCs/>
        </w:rPr>
        <w:t>menor costo financiero variable</w:t>
      </w:r>
      <w:r w:rsidRPr="0017031E">
        <w:t xml:space="preserve"> por </w:t>
      </w:r>
      <w:r w:rsidRPr="0017031E">
        <w:rPr>
          <w:b/>
          <w:bCs/>
        </w:rPr>
        <w:t>costos fijos y penalizaciones significativamente mayores</w:t>
      </w:r>
      <w:r w:rsidRPr="0017031E">
        <w:t>, con una oferta de beneficios muy concentrada.</w:t>
      </w:r>
    </w:p>
    <w:p w14:paraId="162F7B9F" w14:textId="77777777" w:rsidR="0017031E" w:rsidRPr="0017031E" w:rsidRDefault="0017031E" w:rsidP="0017031E">
      <w:r w:rsidRPr="0017031E">
        <w:pict w14:anchorId="282620FF">
          <v:rect id="_x0000_i1066" style="width:0;height:1.5pt" o:hralign="center" o:hrstd="t" o:hr="t" fillcolor="#a0a0a0" stroked="f"/>
        </w:pict>
      </w:r>
    </w:p>
    <w:p w14:paraId="36A651E3" w14:textId="77777777" w:rsidR="0017031E" w:rsidRPr="0017031E" w:rsidRDefault="0017031E" w:rsidP="0017031E">
      <w:pPr>
        <w:pStyle w:val="Ttulo2"/>
      </w:pPr>
      <w:r w:rsidRPr="0017031E">
        <w:t xml:space="preserve">Cómo leer los seis </w:t>
      </w:r>
      <w:proofErr w:type="spellStart"/>
      <w:r w:rsidRPr="0017031E">
        <w:t>clusters</w:t>
      </w:r>
      <w:proofErr w:type="spellEnd"/>
      <w:r w:rsidRPr="0017031E">
        <w:t xml:space="preserve"> en conjunto</w:t>
      </w:r>
    </w:p>
    <w:p w14:paraId="25A0441D" w14:textId="77777777" w:rsidR="0017031E" w:rsidRPr="0017031E" w:rsidRDefault="0017031E" w:rsidP="0017031E">
      <w:r w:rsidRPr="0017031E">
        <w:t>Hay tres ejes que me parecen especialmente fuertes.</w:t>
      </w:r>
    </w:p>
    <w:p w14:paraId="1061CD6D" w14:textId="77777777" w:rsidR="0017031E" w:rsidRPr="0017031E" w:rsidRDefault="0017031E" w:rsidP="0017031E">
      <w:r w:rsidRPr="0017031E">
        <w:t xml:space="preserve">El primer eje es </w:t>
      </w:r>
      <w:r w:rsidRPr="0017031E">
        <w:rPr>
          <w:b/>
          <w:bCs/>
        </w:rPr>
        <w:t>costo financiero vs. costo fijo</w:t>
      </w:r>
      <w:r w:rsidRPr="0017031E">
        <w:t xml:space="preserve">. El </w:t>
      </w:r>
      <w:proofErr w:type="spellStart"/>
      <w:r w:rsidRPr="0017031E">
        <w:t>cluster</w:t>
      </w:r>
      <w:proofErr w:type="spellEnd"/>
      <w:r w:rsidRPr="0017031E">
        <w:t xml:space="preserve"> 3 está en el extremo de CAT/tasa alta (CAT 86.7%, tasa 59.9%), mientras que el </w:t>
      </w:r>
      <w:proofErr w:type="spellStart"/>
      <w:r w:rsidRPr="0017031E">
        <w:t>cluster</w:t>
      </w:r>
      <w:proofErr w:type="spellEnd"/>
      <w:r w:rsidRPr="0017031E">
        <w:t xml:space="preserve"> 5 ocupa el extremo contrario (CAT 42.9%, tasa 28.6%) pero con anualidad de $3,276. El </w:t>
      </w:r>
      <w:proofErr w:type="spellStart"/>
      <w:r w:rsidRPr="0017031E">
        <w:t>cluster</w:t>
      </w:r>
      <w:proofErr w:type="spellEnd"/>
      <w:r w:rsidRPr="0017031E">
        <w:t xml:space="preserve"> 2 también paga anualidades altas, pero a cambio de mayores líneas y beneficios.</w:t>
      </w:r>
    </w:p>
    <w:p w14:paraId="13128D9E" w14:textId="77777777" w:rsidR="0017031E" w:rsidRPr="0017031E" w:rsidRDefault="0017031E" w:rsidP="0017031E">
      <w:r w:rsidRPr="0017031E">
        <w:t xml:space="preserve">El segundo eje es </w:t>
      </w:r>
      <w:r w:rsidRPr="0017031E">
        <w:rPr>
          <w:b/>
          <w:bCs/>
        </w:rPr>
        <w:t>amplitud de beneficios</w:t>
      </w:r>
      <w:r w:rsidRPr="0017031E">
        <w:t xml:space="preserve">. El </w:t>
      </w:r>
      <w:proofErr w:type="spellStart"/>
      <w:r w:rsidRPr="0017031E">
        <w:t>cluster</w:t>
      </w:r>
      <w:proofErr w:type="spellEnd"/>
      <w:r w:rsidRPr="0017031E">
        <w:t xml:space="preserve"> 3 promedia 4.8 tipos, el 0 tiene 3.3, el 2 tiene 3.15, mientras que el 5 tiene exactamente 1. El </w:t>
      </w:r>
      <w:proofErr w:type="spellStart"/>
      <w:r w:rsidRPr="0017031E">
        <w:t>cluster</w:t>
      </w:r>
      <w:proofErr w:type="spellEnd"/>
      <w:r w:rsidRPr="0017031E">
        <w:t xml:space="preserve"> 2 destaca no tanto por cantidad total sino por una combinación muy específica y consistente: puntos por dólar + MSI de viaje + preventas.</w:t>
      </w:r>
    </w:p>
    <w:p w14:paraId="49CF90A8" w14:textId="77777777" w:rsidR="0017031E" w:rsidRPr="0017031E" w:rsidRDefault="0017031E" w:rsidP="0017031E">
      <w:r w:rsidRPr="0017031E">
        <w:t xml:space="preserve">El tercero es </w:t>
      </w:r>
      <w:r w:rsidRPr="0017031E">
        <w:rPr>
          <w:b/>
          <w:bCs/>
        </w:rPr>
        <w:t>exigencia de entrada</w:t>
      </w:r>
      <w:r w:rsidRPr="0017031E">
        <w:t xml:space="preserve">. Cluster 0 es el más exigente en score/antigüedad; </w:t>
      </w:r>
      <w:proofErr w:type="spellStart"/>
      <w:r w:rsidRPr="0017031E">
        <w:t>cluster</w:t>
      </w:r>
      <w:proofErr w:type="spellEnd"/>
      <w:r w:rsidRPr="0017031E">
        <w:t xml:space="preserve"> 2 exige score 580 de forma uniforme y mayor capacidad económica; </w:t>
      </w:r>
      <w:proofErr w:type="spellStart"/>
      <w:r w:rsidRPr="0017031E">
        <w:t>clusters</w:t>
      </w:r>
      <w:proofErr w:type="spellEnd"/>
      <w:r w:rsidRPr="0017031E">
        <w:t xml:space="preserve"> 3 y 5 no exigen score ni antigüedades según tu base.</w:t>
      </w:r>
    </w:p>
    <w:p w14:paraId="3AED67F4" w14:textId="02B5EE77" w:rsidR="0017031E" w:rsidRPr="0017031E" w:rsidRDefault="0017031E" w:rsidP="0017031E">
      <w:r w:rsidRPr="0017031E">
        <w:t xml:space="preserve">Una conclusión metodológica importante: </w:t>
      </w:r>
      <w:r w:rsidRPr="0017031E">
        <w:rPr>
          <w:b/>
          <w:bCs/>
        </w:rPr>
        <w:t>el promedio por sí solo no alcanza para perfilar estos grupos</w:t>
      </w:r>
      <w:r w:rsidRPr="0017031E">
        <w:t xml:space="preserve">. Ejemplos claros son la línea de crédito del </w:t>
      </w:r>
      <w:proofErr w:type="spellStart"/>
      <w:r w:rsidRPr="0017031E">
        <w:t>cluster</w:t>
      </w:r>
      <w:proofErr w:type="spellEnd"/>
      <w:r w:rsidRPr="0017031E">
        <w:t xml:space="preserve"> 1 ($17.6k de media vs $2k de mediana), la línea del </w:t>
      </w:r>
      <w:proofErr w:type="spellStart"/>
      <w:r w:rsidRPr="0017031E">
        <w:t>cluster</w:t>
      </w:r>
      <w:proofErr w:type="spellEnd"/>
      <w:r w:rsidRPr="0017031E">
        <w:t xml:space="preserve"> 5 ($16.3k vs $7k) y las anualidades con productos $0 dentro de </w:t>
      </w:r>
      <w:proofErr w:type="spellStart"/>
      <w:r w:rsidRPr="0017031E">
        <w:t>clusters</w:t>
      </w:r>
      <w:proofErr w:type="spellEnd"/>
      <w:r w:rsidRPr="0017031E">
        <w:t xml:space="preserve"> cuyo promedio ronda $1,000–$2,000.</w:t>
      </w:r>
    </w:p>
    <w:p w14:paraId="3567B409" w14:textId="188A0048" w:rsidR="0017031E" w:rsidRPr="0017031E" w:rsidRDefault="0017031E" w:rsidP="0017031E">
      <w:r w:rsidRPr="0017031E">
        <w:t xml:space="preserve">También dejaría explícito que las tarjetas “periféricas” no son errores de </w:t>
      </w:r>
      <w:proofErr w:type="spellStart"/>
      <w:r w:rsidRPr="0017031E">
        <w:t>clustering</w:t>
      </w:r>
      <w:proofErr w:type="spellEnd"/>
      <w:r w:rsidRPr="0017031E">
        <w:t xml:space="preserve">. Ward está agrupando en </w:t>
      </w:r>
      <w:r w:rsidRPr="0017031E">
        <w:rPr>
          <w:b/>
          <w:bCs/>
        </w:rPr>
        <w:t>59 variables reducidas a 12 componentes</w:t>
      </w:r>
      <w:r w:rsidRPr="0017031E">
        <w:t xml:space="preserve">, así que una tarjeta puede ser muy distinta en anualidad y aun pertenecer correctamente al grupo </w:t>
      </w:r>
      <w:r w:rsidRPr="0017031E">
        <w:lastRenderedPageBreak/>
        <w:t xml:space="preserve">por coincidir en requisitos, beneficios y comisiones. Eso explica muy bien casos como Santander Free, Scotia Básica o Mercado Libre INVEX. </w:t>
      </w:r>
    </w:p>
    <w:p w14:paraId="4AE2FE05" w14:textId="77777777" w:rsidR="00637132" w:rsidRDefault="00637132"/>
    <w:sectPr w:rsidR="006371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1C0"/>
    <w:multiLevelType w:val="multilevel"/>
    <w:tmpl w:val="64C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A08"/>
    <w:multiLevelType w:val="multilevel"/>
    <w:tmpl w:val="ECF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0C4E"/>
    <w:multiLevelType w:val="multilevel"/>
    <w:tmpl w:val="8F0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335BA"/>
    <w:multiLevelType w:val="multilevel"/>
    <w:tmpl w:val="B1C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64CFF"/>
    <w:multiLevelType w:val="multilevel"/>
    <w:tmpl w:val="555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00A91"/>
    <w:multiLevelType w:val="multilevel"/>
    <w:tmpl w:val="0E1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61854"/>
    <w:multiLevelType w:val="multilevel"/>
    <w:tmpl w:val="221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37BCE"/>
    <w:multiLevelType w:val="multilevel"/>
    <w:tmpl w:val="B4C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07990">
    <w:abstractNumId w:val="7"/>
  </w:num>
  <w:num w:numId="2" w16cid:durableId="392041822">
    <w:abstractNumId w:val="0"/>
  </w:num>
  <w:num w:numId="3" w16cid:durableId="812142480">
    <w:abstractNumId w:val="5"/>
  </w:num>
  <w:num w:numId="4" w16cid:durableId="417337171">
    <w:abstractNumId w:val="1"/>
  </w:num>
  <w:num w:numId="5" w16cid:durableId="950892454">
    <w:abstractNumId w:val="2"/>
  </w:num>
  <w:num w:numId="6" w16cid:durableId="116877020">
    <w:abstractNumId w:val="4"/>
  </w:num>
  <w:num w:numId="7" w16cid:durableId="11301684">
    <w:abstractNumId w:val="3"/>
  </w:num>
  <w:num w:numId="8" w16cid:durableId="1121261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1E"/>
    <w:rsid w:val="0017031E"/>
    <w:rsid w:val="004565C3"/>
    <w:rsid w:val="0063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4F1A"/>
  <w15:chartTrackingRefBased/>
  <w15:docId w15:val="{4F50CC0B-7858-4B47-BD67-203E5206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0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3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3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3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2691</Words>
  <Characters>14804</Characters>
  <Application>Microsoft Office Word</Application>
  <DocSecurity>0</DocSecurity>
  <Lines>123</Lines>
  <Paragraphs>34</Paragraphs>
  <ScaleCrop>false</ScaleCrop>
  <Company/>
  <LinksUpToDate>false</LinksUpToDate>
  <CharactersWithSpaces>17461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Emilio Tableros</dc:creator>
  <cp:keywords/>
  <dc:description/>
  <cp:lastModifiedBy>Diego Emilio Tableros</cp:lastModifiedBy>
  <cp:revision>1</cp:revision>
  <dcterms:created xsi:type="dcterms:W3CDTF">2026-10-04T08:26:00Z</dcterms:created>
  <dcterms:modified xsi:type="dcterms:W3CDTF">2026-10-04T08:28:00Z</dcterms:modified>
</cp:coreProperties>
</file>