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left"/>
      </w:pPr>
      <w:r>
        <w:rPr>
          <w:b/>
          <w:bCs/>
          <w:color w:val="B85A1E"/>
          <w:spacing w:val="60"/>
          <w:sz w:val="14"/>
          <w:szCs w:val="14"/>
        </w:rPr>
        <w:t xml:space="preserve">Companion to the LP Yield Simulator</w:t>
      </w:r>
    </w:p>
    <w:p>
      <w:pPr>
        <w:spacing w:after="100"/>
      </w:pPr>
      <w:r>
        <w:rPr>
          <w:b/>
          <w:bCs/>
          <w:color w:val="0F2A44"/>
          <w:sz w:val="52"/>
          <w:szCs w:val="52"/>
        </w:rPr>
        <w:t xml:space="preserve">LP Reward Model</w:t>
      </w:r>
    </w:p>
    <w:p>
      <w:pPr>
        <w:pBdr>
          <w:bottom w:val="single" w:color="E8732C" w:sz="12" w:space="8"/>
        </w:pBdr>
        <w:spacing w:after="400"/>
      </w:pPr>
      <w:r>
        <w:rPr>
          <w:color w:val="3A4A5C"/>
          <w:sz w:val="24"/>
          <w:szCs w:val="24"/>
        </w:rPr>
        <w:t xml:space="preserve">Mathematical derivation of the tier-rate × pro-rata mechanic that determines an LP's projected APY in the XDC Liquid Staking protocol.</w:t>
      </w:r>
    </w:p>
    <w:p>
      <w:pPr>
        <w:pStyle w:val="Heading1"/>
        <w:pBdr>
          <w:bottom w:val="single" w:color="E8732C" w:sz="12" w:space="4"/>
        </w:pBdr>
        <w:spacing w:after="160" w:before="360"/>
      </w:pPr>
      <w:r>
        <w:rPr>
          <w:rFonts w:ascii="Arial" w:cs="Arial" w:eastAsia="Arial" w:hAnsi="Arial"/>
          <w:b/>
          <w:bCs/>
          <w:color w:val="0F2A44"/>
          <w:sz w:val="36"/>
          <w:szCs w:val="36"/>
        </w:rPr>
        <w:t xml:space="preserve">1. Overview</w:t>
      </w:r>
    </w:p>
    <w:p>
      <w:pPr>
        <w:spacing w:after="200" w:line="320"/>
      </w:pPr>
      <w:r>
        <w:rPr>
          <w:color w:val="0F2A44"/>
          <w:sz w:val="24"/>
          <w:szCs w:val="24"/>
        </w:rPr>
        <w:t xml:space="preserve">The LP captures yield from five distinct revenue streams. Two of them — protocol fee share (R₃) and outcome-based compensation (R₄) — use a tier-rate × pro-rata mechanic that scales the LP's effective claim on the bucket according to ticket size.</w:t>
      </w:r>
    </w:p>
    <w:p>
      <w:pPr>
        <w:pStyle w:val="Heading3"/>
        <w:spacing w:after="60" w:before="160"/>
      </w:pPr>
      <w:r>
        <w:rPr>
          <w:rFonts w:ascii="Arial" w:cs="Arial" w:eastAsia="Arial" w:hAnsi="Arial"/>
          <w:b/>
          <w:bCs/>
          <w:color w:val="B85A1E"/>
          <w:sz w:val="22"/>
          <w:szCs w:val="22"/>
        </w:rPr>
        <w:t xml:space="preserve">The five revenue streams</w:t>
      </w:r>
    </w:p>
    <w:p>
      <w:pPr>
        <w:pStyle w:val="ListParagraph"/>
        <w:numPr>
          <w:ilvl w:val="0"/>
          <w:numId w:val="2"/>
        </w:numPr>
        <w:spacing w:after="60" w:line="280"/>
      </w:pPr>
      <w:r>
        <w:rPr>
          <w:b/>
          <w:bCs/>
          <w:color w:val="0F2A44"/>
          <w:sz w:val="22"/>
          <w:szCs w:val="22"/>
        </w:rPr>
        <w:t xml:space="preserve">R₁ — Base staking yield. </w:t>
      </w:r>
      <w:r>
        <w:rPr>
          <w:color w:val="3A4A5C"/>
          <w:sz w:val="22"/>
          <w:szCs w:val="22"/>
        </w:rPr>
        <w:t xml:space="preserve">The LP's share of the network reward on their delegated XDC. Not affected by tier rate.</w:t>
      </w:r>
    </w:p>
    <w:p>
      <w:pPr>
        <w:pStyle w:val="ListParagraph"/>
        <w:numPr>
          <w:ilvl w:val="0"/>
          <w:numId w:val="2"/>
        </w:numPr>
        <w:spacing w:after="60" w:line="280"/>
      </w:pPr>
      <w:r>
        <w:rPr>
          <w:b/>
          <w:bCs/>
          <w:color w:val="0F2A44"/>
          <w:sz w:val="22"/>
          <w:szCs w:val="22"/>
        </w:rPr>
        <w:t xml:space="preserve">R₂ — Validator operations margin. </w:t>
      </w:r>
      <w:r>
        <w:rPr>
          <w:color w:val="3A4A5C"/>
          <w:sz w:val="22"/>
          <w:szCs w:val="22"/>
        </w:rPr>
        <w:t xml:space="preserve">The operating P&amp;L of LP-funded validator nodes. Not affected by tier rate.</w:t>
      </w:r>
    </w:p>
    <w:p>
      <w:pPr>
        <w:pStyle w:val="ListParagraph"/>
        <w:numPr>
          <w:ilvl w:val="0"/>
          <w:numId w:val="2"/>
        </w:numPr>
        <w:spacing w:after="60" w:line="280"/>
      </w:pPr>
      <w:r>
        <w:rPr>
          <w:b/>
          <w:bCs/>
          <w:color w:val="0F2A44"/>
          <w:sz w:val="22"/>
          <w:szCs w:val="22"/>
        </w:rPr>
        <w:t xml:space="preserve">R₃ — Protocol fee share. </w:t>
      </w:r>
      <w:r>
        <w:rPr>
          <w:color w:val="3A4A5C"/>
          <w:sz w:val="22"/>
          <w:szCs w:val="22"/>
        </w:rPr>
        <w:t xml:space="preserve">Tier-weighted slice of the protocol's P&amp;L on the entire LST TVL.</w:t>
      </w:r>
    </w:p>
    <w:p>
      <w:pPr>
        <w:pStyle w:val="ListParagraph"/>
        <w:numPr>
          <w:ilvl w:val="0"/>
          <w:numId w:val="2"/>
        </w:numPr>
        <w:spacing w:after="60" w:line="280"/>
      </w:pPr>
      <w:r>
        <w:rPr>
          <w:b/>
          <w:bCs/>
          <w:color w:val="0F2A44"/>
          <w:sz w:val="22"/>
          <w:szCs w:val="22"/>
        </w:rPr>
        <w:t xml:space="preserve">R₄ — Outcome-based compensation (OBC). </w:t>
      </w:r>
      <w:r>
        <w:rPr>
          <w:color w:val="3A4A5C"/>
          <w:sz w:val="22"/>
          <w:szCs w:val="22"/>
        </w:rPr>
        <w:t xml:space="preserve">Tier-weighted slice of the network-funded XDC bonus pool.</w:t>
      </w:r>
    </w:p>
    <w:p>
      <w:pPr>
        <w:pStyle w:val="ListParagraph"/>
        <w:numPr>
          <w:ilvl w:val="0"/>
          <w:numId w:val="2"/>
        </w:numPr>
        <w:spacing w:after="60" w:line="280"/>
      </w:pPr>
      <w:r>
        <w:rPr>
          <w:b/>
          <w:bCs/>
          <w:color w:val="0F2A44"/>
          <w:sz w:val="22"/>
          <w:szCs w:val="22"/>
        </w:rPr>
        <w:t xml:space="preserve">R₅ — Token mark-to-market. </w:t>
      </w:r>
      <w:r>
        <w:rPr>
          <w:color w:val="3A4A5C"/>
          <w:sz w:val="22"/>
          <w:szCs w:val="22"/>
        </w:rPr>
        <w:t xml:space="preserve">Unrealised gain on the staked XDC if price appreciates over the lock.</w:t>
      </w:r>
    </w:p>
    <w:p>
      <w:pPr>
        <w:pStyle w:val="Heading1"/>
        <w:pBdr>
          <w:bottom w:val="single" w:color="E8732C" w:sz="12" w:space="4"/>
        </w:pBdr>
        <w:spacing w:after="160" w:before="360"/>
      </w:pPr>
      <w:r>
        <w:rPr>
          <w:rFonts w:ascii="Arial" w:cs="Arial" w:eastAsia="Arial" w:hAnsi="Arial"/>
          <w:b/>
          <w:bCs/>
          <w:color w:val="0F2A44"/>
          <w:sz w:val="36"/>
          <w:szCs w:val="36"/>
        </w:rPr>
        <w:t xml:space="preserve">2. The Tier-Rate × Pro-Rata Mechanic</w:t>
      </w:r>
    </w:p>
    <w:p>
      <w:pPr>
        <w:spacing w:after="200" w:line="320"/>
      </w:pPr>
      <w:r>
        <w:rPr>
          <w:color w:val="0F2A44"/>
          <w:sz w:val="24"/>
          <w:szCs w:val="24"/>
        </w:rPr>
        <w:t xml:space="preserve">Each LP's effective claim on the discretionary buckets (R₃ and R₄) is the product of two factors: a tier rate determined by ticket size, and the LP's pro-rata in the cohort.</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Effective share = ρ × λ        (applied to R₃ and R₄ pools)  </w:t>
      </w:r>
    </w:p>
    <w:p>
      <w:pPr>
        <w:spacing w:after="120" w:line="300"/>
      </w:pPr>
      <w:r>
        <w:rPr>
          <w:color w:val="3A4A5C"/>
          <w:sz w:val="22"/>
          <w:szCs w:val="22"/>
        </w:rPr>
        <w:t xml:space="preserve">Where ρ is the tier rate and λ = I / T is the LP's pro-rata in the cohort. The remainder of each bucket — i.e. the part not captured by any LP — stays with the protocol or the foundation.</w:t>
      </w:r>
    </w:p>
    <w:p>
      <w:pPr>
        <w:pStyle w:val="Heading3"/>
        <w:spacing w:after="60" w:before="160"/>
      </w:pPr>
      <w:r>
        <w:rPr>
          <w:rFonts w:ascii="Arial" w:cs="Arial" w:eastAsia="Arial" w:hAnsi="Arial"/>
          <w:b/>
          <w:bCs/>
          <w:color w:val="B85A1E"/>
          <w:sz w:val="22"/>
          <w:szCs w:val="22"/>
        </w:rPr>
        <w:t xml:space="preserve">Tier rate ladder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Arial" w:cs="Arial" w:eastAsia="Arial" w:hAnsi="Arial"/>
                <w:b/>
                <w:bCs/>
                <w:color w:val="FFFFFF"/>
                <w:sz w:val="20"/>
                <w:szCs w:val="20"/>
              </w:rPr>
              <w:t xml:space="preserve">Tier</w:t>
            </w:r>
          </w:p>
        </w:tc>
        <w:tc>
          <w:tcPr>
            <w:tcW w:type="dxa" w:w="18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20"/>
                <w:szCs w:val="20"/>
              </w:rPr>
              <w:t xml:space="preserve">Ticket size</w:t>
            </w:r>
          </w:p>
        </w:tc>
        <w:tc>
          <w:tcPr>
            <w:tcW w:type="dxa" w:w="18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20"/>
                <w:szCs w:val="20"/>
              </w:rPr>
              <w:t xml:space="preserve">Tier rate (ρ)</w:t>
            </w:r>
          </w:p>
        </w:tc>
        <w:tc>
          <w:tcPr>
            <w:tcW w:type="dxa" w:w="356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20"/>
                <w:szCs w:val="20"/>
              </w:rPr>
              <w:t xml:space="preserve">Per-$ yield ladder</w:t>
            </w:r>
          </w:p>
        </w:tc>
      </w:tr>
      <w:tr>
        <w:tc>
          <w:tcPr>
            <w:tcW w:type="dxa" w:w="22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Standard</w:t>
            </w:r>
          </w:p>
        </w:tc>
        <w:tc>
          <w:tcPr>
            <w:tcW w:type="dxa" w:w="18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$250k</w:t>
            </w:r>
          </w:p>
        </w:tc>
        <w:tc>
          <w:tcPr>
            <w:tcW w:type="dxa" w:w="18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22"/>
                <w:szCs w:val="22"/>
              </w:rPr>
              <w:t xml:space="preserve">20%</w:t>
            </w:r>
          </w:p>
        </w:tc>
        <w:tc>
          <w:tcPr>
            <w:tcW w:type="dxa" w:w="35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val="false"/>
                <w:bCs w:val="false"/>
                <w:color w:val="3A4A5C"/>
                <w:sz w:val="20"/>
                <w:szCs w:val="20"/>
              </w:rPr>
              <w:t xml:space="preserve">1.0× baseline</w:t>
            </w:r>
          </w:p>
        </w:tc>
      </w:tr>
      <w:tr>
        <w:tc>
          <w:tcPr>
            <w:tcW w:type="dxa" w:w="22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Strategic</w:t>
            </w:r>
          </w:p>
        </w:tc>
        <w:tc>
          <w:tcPr>
            <w:tcW w:type="dxa" w:w="18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$500k</w:t>
            </w:r>
          </w:p>
        </w:tc>
        <w:tc>
          <w:tcPr>
            <w:tcW w:type="dxa" w:w="18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0F2A44"/>
                <w:sz w:val="22"/>
                <w:szCs w:val="22"/>
              </w:rPr>
              <w:t xml:space="preserve">30%</w:t>
            </w:r>
          </w:p>
        </w:tc>
        <w:tc>
          <w:tcPr>
            <w:tcW w:type="dxa" w:w="35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val="false"/>
                <w:bCs w:val="false"/>
                <w:color w:val="3A4A5C"/>
                <w:sz w:val="20"/>
                <w:szCs w:val="20"/>
              </w:rPr>
              <w:t xml:space="preserve">1.5× baseline</w:t>
            </w:r>
          </w:p>
        </w:tc>
      </w:tr>
      <w:tr>
        <w:tc>
          <w:tcPr>
            <w:tcW w:type="dxa" w:w="22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Anchor</w:t>
            </w:r>
          </w:p>
        </w:tc>
        <w:tc>
          <w:tcPr>
            <w:tcW w:type="dxa" w:w="18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$1.0M</w:t>
            </w:r>
          </w:p>
        </w:tc>
        <w:tc>
          <w:tcPr>
            <w:tcW w:type="dxa" w:w="18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center"/>
            </w:pPr>
            <w:r>
              <w:rPr>
                <w:rFonts w:ascii="Arial" w:cs="Arial" w:eastAsia="Arial" w:hAnsi="Arial"/>
                <w:b/>
                <w:bCs/>
                <w:color w:val="B85A1E"/>
                <w:sz w:val="22"/>
                <w:szCs w:val="22"/>
              </w:rPr>
              <w:t xml:space="preserve">40%</w:t>
            </w:r>
          </w:p>
        </w:tc>
        <w:tc>
          <w:tcPr>
            <w:tcW w:type="dxa" w:w="356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2.0× baseline</w:t>
            </w:r>
          </w:p>
        </w:tc>
      </w:tr>
    </w:tbl>
    <w:p>
      <w:pPr>
        <w:spacing w:after="120"/>
      </w:pPr>
      <w:r>
        <w:t xml:space="preserve"/>
      </w:r>
    </w:p>
    <w:p>
      <w:pPr>
        <w:spacing w:after="120" w:line="300"/>
      </w:pPr>
      <w:r>
        <w:rPr>
          <w:color w:val="3A4A5C"/>
          <w:sz w:val="22"/>
          <w:szCs w:val="22"/>
        </w:rPr>
        <w:t xml:space="preserve">The ladder is structured so that per-dollar yield rate scales linearly: a Strategic LP earns 1.5× the per-dollar rate of a Standard LP, and an Anchor earns 2.0×. This preserves the canonical 'anchor boost' incentive structure while keeping the math closed.</w:t>
      </w:r>
    </w:p>
    <w:p>
      <w:pPr>
        <w:pStyle w:val="Heading2"/>
        <w:spacing w:after="100" w:before="240"/>
      </w:pPr>
      <w:r>
        <w:rPr>
          <w:rFonts w:ascii="Arial" w:cs="Arial" w:eastAsia="Arial" w:hAnsi="Arial"/>
          <w:b/>
          <w:bCs/>
          <w:color w:val="0F2A44"/>
          <w:sz w:val="26"/>
          <w:szCs w:val="26"/>
        </w:rPr>
        <w:t xml:space="preserve">Worked example of the mechanic</w:t>
      </w:r>
    </w:p>
    <w:p>
      <w:pPr>
        <w:spacing w:after="120" w:line="300"/>
      </w:pPr>
      <w:r>
        <w:rPr>
          <w:color w:val="3A4A5C"/>
          <w:sz w:val="22"/>
          <w:szCs w:val="22"/>
        </w:rPr>
        <w:t xml:space="preserve">Cohort = $2M, OBC pool = $300k. Four LPs participate (2 × $250k Standard, 1 × $500k Strategic, 1 × $1M Anchor).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300"/>
        <w:gridCol w:w="1900"/>
        <w:gridCol w:w="2060"/>
      </w:tblGrid>
      <w:tr>
        <w:trPr>
          <w:tblHeader/>
        </w:trPr>
        <w:tc>
          <w:tcPr>
            <w:tcW w:type="dxa" w:w="24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Arial" w:cs="Arial" w:eastAsia="Arial" w:hAnsi="Arial"/>
                <w:b/>
                <w:bCs/>
                <w:color w:val="FFFFFF"/>
                <w:sz w:val="20"/>
                <w:szCs w:val="20"/>
              </w:rPr>
              <w:t xml:space="preserve">LP</w:t>
            </w:r>
          </w:p>
        </w:tc>
        <w:tc>
          <w:tcPr>
            <w:tcW w:type="dxa" w:w="17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20"/>
                <w:szCs w:val="20"/>
              </w:rPr>
              <w:t xml:space="preserve">Ticket</w:t>
            </w:r>
          </w:p>
        </w:tc>
        <w:tc>
          <w:tcPr>
            <w:tcW w:type="dxa" w:w="13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Consolas" w:cs="Consolas" w:eastAsia="Consolas" w:hAnsi="Consolas"/>
                <w:b/>
                <w:bCs/>
                <w:color w:val="FFFFFF"/>
                <w:sz w:val="20"/>
                <w:szCs w:val="20"/>
              </w:rPr>
              <w:t xml:space="preserve">ρ</w:t>
            </w:r>
          </w:p>
        </w:tc>
        <w:tc>
          <w:tcPr>
            <w:tcW w:type="dxa" w:w="19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Consolas" w:cs="Consolas" w:eastAsia="Consolas" w:hAnsi="Consolas"/>
                <w:b/>
                <w:bCs/>
                <w:color w:val="FFFFFF"/>
                <w:sz w:val="20"/>
                <w:szCs w:val="20"/>
              </w:rPr>
              <w:t xml:space="preserve">λ = I/T</w:t>
            </w:r>
          </w:p>
        </w:tc>
        <w:tc>
          <w:tcPr>
            <w:tcW w:type="dxa" w:w="206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20"/>
                <w:szCs w:val="20"/>
              </w:rPr>
              <w:t xml:space="preserve">Payout (Pool=$300k)</w:t>
            </w:r>
          </w:p>
        </w:tc>
      </w:tr>
      <w:tr>
        <w:tc>
          <w:tcPr>
            <w:tcW w:type="dxa" w:w="24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LP A1 (Standard)</w:t>
            </w:r>
          </w:p>
        </w:tc>
        <w:tc>
          <w:tcPr>
            <w:tcW w:type="dxa" w:w="17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val="false"/>
                <w:bCs w:val="false"/>
                <w:color w:val="3A4A5C"/>
                <w:sz w:val="20"/>
                <w:szCs w:val="20"/>
              </w:rPr>
              <w:t xml:space="preserve">$250k</w:t>
            </w:r>
          </w:p>
        </w:tc>
        <w:tc>
          <w:tcPr>
            <w:tcW w:type="dxa" w:w="13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Consolas" w:cs="Consolas" w:eastAsia="Consolas" w:hAnsi="Consolas"/>
                <w:b w:val="false"/>
                <w:bCs w:val="false"/>
                <w:color w:val="3A4A5C"/>
                <w:sz w:val="20"/>
                <w:szCs w:val="20"/>
              </w:rPr>
              <w:t xml:space="preserve">20%</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Consolas" w:cs="Consolas" w:eastAsia="Consolas" w:hAnsi="Consolas"/>
                <w:b w:val="false"/>
                <w:bCs w:val="false"/>
                <w:color w:val="3A4A5C"/>
                <w:sz w:val="20"/>
                <w:szCs w:val="20"/>
              </w:rPr>
              <w:t xml:space="preserve">12.50%</w:t>
            </w:r>
          </w:p>
        </w:tc>
        <w:tc>
          <w:tcPr>
            <w:tcW w:type="dxa" w:w="20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$7,500</w:t>
            </w:r>
          </w:p>
        </w:tc>
      </w:tr>
      <w:tr>
        <w:tc>
          <w:tcPr>
            <w:tcW w:type="dxa" w:w="24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LP A2 (Standard)</w:t>
            </w:r>
          </w:p>
        </w:tc>
        <w:tc>
          <w:tcPr>
            <w:tcW w:type="dxa" w:w="17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val="false"/>
                <w:bCs w:val="false"/>
                <w:color w:val="3A4A5C"/>
                <w:sz w:val="20"/>
                <w:szCs w:val="20"/>
              </w:rPr>
              <w:t xml:space="preserve">$250k</w:t>
            </w:r>
          </w:p>
        </w:tc>
        <w:tc>
          <w:tcPr>
            <w:tcW w:type="dxa" w:w="13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Consolas" w:cs="Consolas" w:eastAsia="Consolas" w:hAnsi="Consolas"/>
                <w:b w:val="false"/>
                <w:bCs w:val="false"/>
                <w:color w:val="3A4A5C"/>
                <w:sz w:val="20"/>
                <w:szCs w:val="20"/>
              </w:rPr>
              <w:t xml:space="preserve">20%</w:t>
            </w:r>
          </w:p>
        </w:tc>
        <w:tc>
          <w:tcPr>
            <w:tcW w:type="dxa" w:w="19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Consolas" w:cs="Consolas" w:eastAsia="Consolas" w:hAnsi="Consolas"/>
                <w:b w:val="false"/>
                <w:bCs w:val="false"/>
                <w:color w:val="3A4A5C"/>
                <w:sz w:val="20"/>
                <w:szCs w:val="20"/>
              </w:rPr>
              <w:t xml:space="preserve">12.50%</w:t>
            </w:r>
          </w:p>
        </w:tc>
        <w:tc>
          <w:tcPr>
            <w:tcW w:type="dxa" w:w="20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$7,500</w:t>
            </w:r>
          </w:p>
        </w:tc>
      </w:tr>
      <w:tr>
        <w:tc>
          <w:tcPr>
            <w:tcW w:type="dxa" w:w="24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LP B (Strategic)</w:t>
            </w:r>
          </w:p>
        </w:tc>
        <w:tc>
          <w:tcPr>
            <w:tcW w:type="dxa" w:w="17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val="false"/>
                <w:bCs w:val="false"/>
                <w:color w:val="3A4A5C"/>
                <w:sz w:val="20"/>
                <w:szCs w:val="20"/>
              </w:rPr>
              <w:t xml:space="preserve">$500k</w:t>
            </w:r>
          </w:p>
        </w:tc>
        <w:tc>
          <w:tcPr>
            <w:tcW w:type="dxa" w:w="13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Consolas" w:cs="Consolas" w:eastAsia="Consolas" w:hAnsi="Consolas"/>
                <w:b w:val="false"/>
                <w:bCs w:val="false"/>
                <w:color w:val="3A4A5C"/>
                <w:sz w:val="20"/>
                <w:szCs w:val="20"/>
              </w:rPr>
              <w:t xml:space="preserve">30%</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Consolas" w:cs="Consolas" w:eastAsia="Consolas" w:hAnsi="Consolas"/>
                <w:b w:val="false"/>
                <w:bCs w:val="false"/>
                <w:color w:val="3A4A5C"/>
                <w:sz w:val="20"/>
                <w:szCs w:val="20"/>
              </w:rPr>
              <w:t xml:space="preserve">25.00%</w:t>
            </w:r>
          </w:p>
        </w:tc>
        <w:tc>
          <w:tcPr>
            <w:tcW w:type="dxa" w:w="20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$22,500</w:t>
            </w:r>
          </w:p>
        </w:tc>
      </w:tr>
      <w:tr>
        <w:tc>
          <w:tcPr>
            <w:tcW w:type="dxa" w:w="24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LP C (Anchor)</w:t>
            </w:r>
          </w:p>
        </w:tc>
        <w:tc>
          <w:tcPr>
            <w:tcW w:type="dxa" w:w="17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$1.0M</w:t>
            </w:r>
          </w:p>
        </w:tc>
        <w:tc>
          <w:tcPr>
            <w:tcW w:type="dxa" w:w="13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center"/>
            </w:pPr>
            <w:r>
              <w:rPr>
                <w:rFonts w:ascii="Consolas" w:cs="Consolas" w:eastAsia="Consolas" w:hAnsi="Consolas"/>
                <w:b/>
                <w:bCs/>
                <w:color w:val="B85A1E"/>
                <w:sz w:val="20"/>
                <w:szCs w:val="20"/>
              </w:rPr>
              <w:t xml:space="preserve">40%</w:t>
            </w:r>
          </w:p>
        </w:tc>
        <w:tc>
          <w:tcPr>
            <w:tcW w:type="dxa" w:w="19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center"/>
            </w:pPr>
            <w:r>
              <w:rPr>
                <w:rFonts w:ascii="Consolas" w:cs="Consolas" w:eastAsia="Consolas" w:hAnsi="Consolas"/>
                <w:b/>
                <w:bCs/>
                <w:color w:val="0F2A44"/>
                <w:sz w:val="20"/>
                <w:szCs w:val="20"/>
              </w:rPr>
              <w:t xml:space="preserve">50.00%</w:t>
            </w:r>
          </w:p>
        </w:tc>
        <w:tc>
          <w:tcPr>
            <w:tcW w:type="dxa" w:w="206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center"/>
            </w:pPr>
            <w:r>
              <w:rPr>
                <w:rFonts w:ascii="Arial" w:cs="Arial" w:eastAsia="Arial" w:hAnsi="Arial"/>
                <w:b/>
                <w:bCs/>
                <w:color w:val="B85A1E"/>
                <w:sz w:val="22"/>
                <w:szCs w:val="22"/>
              </w:rPr>
              <w:t xml:space="preserve">$60,000</w:t>
            </w:r>
          </w:p>
        </w:tc>
      </w:tr>
      <w:tr>
        <w:tc>
          <w:tcPr>
            <w:tcW w:type="dxa" w:w="24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Arial" w:cs="Arial" w:eastAsia="Arial" w:hAnsi="Arial"/>
                <w:b/>
                <w:bCs/>
                <w:color w:val="FFFFFF"/>
                <w:sz w:val="20"/>
                <w:szCs w:val="20"/>
              </w:rPr>
              <w:t xml:space="preserve">Cohort total</w:t>
            </w:r>
          </w:p>
        </w:tc>
        <w:tc>
          <w:tcPr>
            <w:tcW w:type="dxa" w:w="17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20"/>
                <w:szCs w:val="20"/>
              </w:rPr>
              <w:t xml:space="preserve">$2.0M</w:t>
            </w:r>
          </w:p>
        </w:tc>
        <w:tc>
          <w:tcPr>
            <w:tcW w:type="dxa" w:w="13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val="false"/>
                <w:bCs w:val="false"/>
                <w:color w:val="FFFFFF"/>
                <w:sz w:val="20"/>
                <w:szCs w:val="20"/>
              </w:rPr>
              <w:t xml:space="preserve">—</w:t>
            </w:r>
          </w:p>
        </w:tc>
        <w:tc>
          <w:tcPr>
            <w:tcW w:type="dxa" w:w="19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Consolas" w:cs="Consolas" w:eastAsia="Consolas" w:hAnsi="Consolas"/>
                <w:b w:val="false"/>
                <w:bCs w:val="false"/>
                <w:color w:val="FFFFFF"/>
                <w:sz w:val="20"/>
                <w:szCs w:val="20"/>
              </w:rPr>
              <w:t xml:space="preserve">100%</w:t>
            </w:r>
          </w:p>
        </w:tc>
        <w:tc>
          <w:tcPr>
            <w:tcW w:type="dxa" w:w="206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20"/>
                <w:szCs w:val="20"/>
              </w:rPr>
              <w:t xml:space="preserve">$97,500  (32.5% of pool)</w:t>
            </w:r>
          </w:p>
        </w:tc>
      </w:tr>
    </w:tbl>
    <w:p>
      <w:pPr>
        <w:spacing w:after="120"/>
      </w:pPr>
      <w:r>
        <w:t xml:space="preserve"/>
      </w:r>
    </w:p>
    <w:p>
      <w:pPr>
        <w:spacing w:after="120" w:line="300"/>
      </w:pPr>
      <w:r>
        <w:rPr>
          <w:color w:val="3A4A5C"/>
          <w:sz w:val="22"/>
          <w:szCs w:val="22"/>
        </w:rPr>
        <w:t xml:space="preserve">Total distributed: $97,500 = 32.5% of the OBC pool. The remaining $202,500 (67.5%) stays with the protocol/foundation.</w:t>
      </w:r>
    </w:p>
    <w:p>
      <w:pPr>
        <w:spacing w:after="120" w:line="300"/>
      </w:pPr>
      <w:r>
        <w:rPr>
          <w:b/>
          <w:bCs/>
          <w:color w:val="0F2A44"/>
        </w:rPr>
        <w:t xml:space="preserve">Two design properties worth noting: </w:t>
      </w:r>
      <w:r>
        <w:rPr>
          <w:color w:val="3A4A5C"/>
        </w:rPr>
        <w:t xml:space="preserve">(i) the math always closes — total LP take never exceeds 40% of the bucket (achieved when the cohort is 100% Anchors); (ii) the protocol's retained share is highest when the cohort is dominated by smaller tickets, creating a natural incentive to fill anchor slots.</w:t>
      </w:r>
    </w:p>
    <w:p>
      <w:pPr>
        <w:pStyle w:val="Heading1"/>
        <w:pBdr>
          <w:bottom w:val="single" w:color="E8732C" w:sz="12" w:space="4"/>
        </w:pBdr>
        <w:spacing w:after="160" w:before="360"/>
      </w:pPr>
      <w:r>
        <w:rPr>
          <w:rFonts w:ascii="Arial" w:cs="Arial" w:eastAsia="Arial" w:hAnsi="Arial"/>
          <w:b/>
          <w:bCs/>
          <w:color w:val="0F2A44"/>
          <w:sz w:val="36"/>
          <w:szCs w:val="36"/>
        </w:rPr>
        <w:t xml:space="preserve">3. Variables and Constants</w:t>
      </w:r>
    </w:p>
    <w:p>
      <w:pPr>
        <w:spacing w:after="120" w:line="300"/>
      </w:pPr>
      <w:r>
        <w:rPr>
          <w:color w:val="3A4A5C"/>
          <w:sz w:val="22"/>
          <w:szCs w:val="22"/>
        </w:rPr>
        <w:t xml:space="preserve">The model has three categories of inputs: LP-controllable inputs (the simulator sliders), market scenarios, and protocol-defined constants.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Consolas" w:cs="Consolas" w:eastAsia="Consolas" w:hAnsi="Consolas"/>
                <w:b/>
                <w:bCs/>
                <w:color w:val="FFFFFF"/>
                <w:sz w:val="20"/>
                <w:szCs w:val="20"/>
              </w:rPr>
              <w:t xml:space="preserve">Symbol</w:t>
            </w:r>
          </w:p>
        </w:tc>
        <w:tc>
          <w:tcPr>
            <w:tcW w:type="dxa" w:w="22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Consolas" w:cs="Consolas" w:eastAsia="Consolas" w:hAnsi="Consolas"/>
                <w:b/>
                <w:bCs/>
                <w:color w:val="FFFFFF"/>
                <w:sz w:val="20"/>
                <w:szCs w:val="20"/>
              </w:rPr>
              <w:t xml:space="preserve">Value</w:t>
            </w:r>
          </w:p>
        </w:tc>
        <w:tc>
          <w:tcPr>
            <w:tcW w:type="dxa" w:w="566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Arial" w:cs="Arial" w:eastAsia="Arial" w:hAnsi="Arial"/>
                <w:b/>
                <w:bCs/>
                <w:color w:val="FFFFFF"/>
                <w:sz w:val="20"/>
                <w:szCs w:val="20"/>
              </w:rPr>
              <w:t xml:space="preserve">Description</w:t>
            </w:r>
          </w:p>
        </w:tc>
      </w:tr>
      <w:tr>
        <w:tc>
          <w:tcPr>
            <w:tcW w:type="dxa" w:w="1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I</w:t>
            </w:r>
          </w:p>
        </w:tc>
        <w:tc>
          <w:tcPr>
            <w:tcW w:type="dxa" w:w="22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variable (USD)</w:t>
            </w:r>
          </w:p>
        </w:tc>
        <w:tc>
          <w:tcPr>
            <w:tcW w:type="dxa" w:w="56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LP investment ticket — your commitment in USD</w:t>
            </w:r>
          </w:p>
        </w:tc>
      </w:tr>
      <w:tr>
        <w:tc>
          <w:tcPr>
            <w:tcW w:type="dxa" w:w="1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T</w:t>
            </w:r>
          </w:p>
        </w:tc>
        <w:tc>
          <w:tcPr>
            <w:tcW w:type="dxa" w:w="22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$2M – $5M</w:t>
            </w:r>
          </w:p>
        </w:tc>
        <w:tc>
          <w:tcPr>
            <w:tcW w:type="dxa" w:w="56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Total cohort raise (sum of all LP tickets in this round)</w:t>
            </w:r>
          </w:p>
        </w:tc>
      </w:tr>
      <w:tr>
        <w:tc>
          <w:tcPr>
            <w:tcW w:type="dxa" w:w="1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ρ (rho)</w:t>
            </w:r>
          </w:p>
        </w:tc>
        <w:tc>
          <w:tcPr>
            <w:tcW w:type="dxa" w:w="22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20% / 30% / 40%</w:t>
            </w:r>
          </w:p>
        </w:tc>
        <w:tc>
          <w:tcPr>
            <w:tcW w:type="dxa" w:w="56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Tier rate by ticket size (Standard / Strategic / Anchor)</w:t>
            </w:r>
          </w:p>
        </w:tc>
      </w:tr>
      <w:tr>
        <w:tc>
          <w:tcPr>
            <w:tcW w:type="dxa" w:w="1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λ (lambda)</w:t>
            </w:r>
          </w:p>
        </w:tc>
        <w:tc>
          <w:tcPr>
            <w:tcW w:type="dxa" w:w="22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I / T</w:t>
            </w:r>
          </w:p>
        </w:tc>
        <w:tc>
          <w:tcPr>
            <w:tcW w:type="dxa" w:w="56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LP pro-rata in the cohort</w:t>
            </w:r>
          </w:p>
        </w:tc>
      </w:tr>
      <w:tr>
        <w:tc>
          <w:tcPr>
            <w:tcW w:type="dxa" w:w="1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P</w:t>
            </w:r>
          </w:p>
        </w:tc>
        <w:tc>
          <w:tcPr>
            <w:tcW w:type="dxa" w:w="22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variable (USD)</w:t>
            </w:r>
          </w:p>
        </w:tc>
        <w:tc>
          <w:tcPr>
            <w:tcW w:type="dxa" w:w="56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XDC token price (assumed constant in steady state)</w:t>
            </w:r>
          </w:p>
        </w:tc>
      </w:tr>
      <w:tr>
        <w:tc>
          <w:tcPr>
            <w:tcW w:type="dxa" w:w="1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S</w:t>
            </w:r>
          </w:p>
        </w:tc>
        <w:tc>
          <w:tcPr>
            <w:tcW w:type="dxa" w:w="22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variable (XDC)</w:t>
            </w:r>
          </w:p>
        </w:tc>
        <w:tc>
          <w:tcPr>
            <w:tcW w:type="dxa" w:w="56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Total LST TVL at year-end (LP-funded + organic stake)</w:t>
            </w:r>
          </w:p>
        </w:tc>
      </w:tr>
      <w:tr>
        <w:tc>
          <w:tcPr>
            <w:tcW w:type="dxa" w:w="1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r</w:t>
            </w:r>
          </w:p>
        </w:tc>
        <w:tc>
          <w:tcPr>
            <w:tcW w:type="dxa" w:w="22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9.00%</w:t>
            </w:r>
          </w:p>
        </w:tc>
        <w:tc>
          <w:tcPr>
            <w:tcW w:type="dxa" w:w="56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Network gross staking APR (XDC PoS reward)</w:t>
            </w:r>
          </w:p>
        </w:tc>
      </w:tr>
      <w:tr>
        <w:tc>
          <w:tcPr>
            <w:tcW w:type="dxa" w:w="1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f</w:t>
            </w:r>
          </w:p>
        </w:tc>
        <w:tc>
          <w:tcPr>
            <w:tcW w:type="dxa" w:w="22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15.00%</w:t>
            </w:r>
          </w:p>
        </w:tc>
        <w:tc>
          <w:tcPr>
            <w:tcW w:type="dxa" w:w="56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Protocol fee on staking rewards</w:t>
            </w:r>
          </w:p>
        </w:tc>
      </w:tr>
      <w:tr>
        <w:tc>
          <w:tcPr>
            <w:tcW w:type="dxa" w:w="1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ν (nu)</w:t>
            </w:r>
          </w:p>
        </w:tc>
        <w:tc>
          <w:tcPr>
            <w:tcW w:type="dxa" w:w="22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50.00%</w:t>
            </w:r>
          </w:p>
        </w:tc>
        <w:tc>
          <w:tcPr>
            <w:tcW w:type="dxa" w:w="56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Share of fee flowing to node operations (vs protocol P&amp;L)</w:t>
            </w:r>
          </w:p>
        </w:tc>
      </w:tr>
      <w:tr>
        <w:tc>
          <w:tcPr>
            <w:tcW w:type="dxa" w:w="1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A_node</w:t>
            </w:r>
          </w:p>
        </w:tc>
        <w:tc>
          <w:tcPr>
            <w:tcW w:type="dxa" w:w="22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10,000,000 XDC</w:t>
            </w:r>
          </w:p>
        </w:tc>
        <w:tc>
          <w:tcPr>
            <w:tcW w:type="dxa" w:w="56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Stake size per validator node</w:t>
            </w:r>
          </w:p>
        </w:tc>
      </w:tr>
      <w:tr>
        <w:tc>
          <w:tcPr>
            <w:tcW w:type="dxa" w:w="1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D</w:t>
            </w:r>
          </w:p>
        </w:tc>
        <w:tc>
          <w:tcPr>
            <w:tcW w:type="dxa" w:w="22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$60,000</w:t>
            </w:r>
          </w:p>
        </w:tc>
        <w:tc>
          <w:tcPr>
            <w:tcW w:type="dxa" w:w="56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Project development tranche per cohort (non-recoverable)</w:t>
            </w:r>
          </w:p>
        </w:tc>
      </w:tr>
      <w:tr>
        <w:tc>
          <w:tcPr>
            <w:tcW w:type="dxa" w:w="1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C_node</w:t>
            </w:r>
          </w:p>
        </w:tc>
        <w:tc>
          <w:tcPr>
            <w:tcW w:type="dxa" w:w="22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$2,250 / yr</w:t>
            </w:r>
          </w:p>
        </w:tc>
        <w:tc>
          <w:tcPr>
            <w:tcW w:type="dxa" w:w="56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Per-node operating cost (operations + infra + overhead)</w:t>
            </w:r>
          </w:p>
        </w:tc>
      </w:tr>
      <w:tr>
        <w:tc>
          <w:tcPr>
            <w:tcW w:type="dxa" w:w="1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C_protocol(N)</w:t>
            </w:r>
          </w:p>
        </w:tc>
        <w:tc>
          <w:tcPr>
            <w:tcW w:type="dxa" w:w="22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$40k + $740·N</w:t>
            </w:r>
          </w:p>
        </w:tc>
        <w:tc>
          <w:tcPr>
            <w:tcW w:type="dxa" w:w="56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Protocol opex per year (scales with active node count)</w:t>
            </w:r>
          </w:p>
        </w:tc>
      </w:tr>
      <w:tr>
        <w:tc>
          <w:tcPr>
            <w:tcW w:type="dxa" w:w="1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bCs/>
                <w:color w:val="0F2A44"/>
                <w:sz w:val="20"/>
                <w:szCs w:val="20"/>
              </w:rPr>
              <w:t xml:space="preserve">ω(N)</w:t>
            </w:r>
          </w:p>
        </w:tc>
        <w:tc>
          <w:tcPr>
            <w:tcW w:type="dxa" w:w="22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0.0005 / 0.0006 / 0.0007</w:t>
            </w:r>
          </w:p>
        </w:tc>
        <w:tc>
          <w:tcPr>
            <w:tcW w:type="dxa" w:w="56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19"/>
                <w:szCs w:val="19"/>
              </w:rPr>
              <w:t xml:space="preserve">OBC monthly rate per XDC, stepped by milestone (≤20 / ≤75 / &gt;75 nodes)</w:t>
            </w:r>
          </w:p>
        </w:tc>
      </w:tr>
    </w:tbl>
    <w:p>
      <w:pPr>
        <w:pStyle w:val="Heading1"/>
        <w:pBdr>
          <w:bottom w:val="single" w:color="E8732C" w:sz="12" w:space="4"/>
        </w:pBdr>
        <w:spacing w:after="160" w:before="360"/>
      </w:pPr>
      <w:r>
        <w:rPr>
          <w:rFonts w:ascii="Arial" w:cs="Arial" w:eastAsia="Arial" w:hAnsi="Arial"/>
          <w:b/>
          <w:bCs/>
          <w:color w:val="0F2A44"/>
          <w:sz w:val="36"/>
          <w:szCs w:val="36"/>
        </w:rPr>
        <w:t xml:space="preserve">4. LP Investment Decomposition</w:t>
      </w:r>
    </w:p>
    <w:p>
      <w:pPr>
        <w:spacing w:after="120" w:line="300"/>
      </w:pPr>
      <w:r>
        <w:rPr>
          <w:color w:val="3A4A5C"/>
          <w:sz w:val="22"/>
          <w:szCs w:val="22"/>
        </w:rPr>
        <w:t xml:space="preserve">The LP's ticket I is split between two components, each with a different role:</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I = I_stake + I_dev    where  I_dev = λ · D  </w:t>
      </w:r>
    </w:p>
    <w:p>
      <w:pPr>
        <w:spacing w:after="120" w:line="300"/>
      </w:pPr>
      <w:r>
        <w:rPr>
          <w:color w:val="3A4A5C"/>
          <w:sz w:val="22"/>
          <w:szCs w:val="22"/>
        </w:rPr>
        <w:t xml:space="preserve">The stake portion (I_stake) buys XDC and earns base yield; the dev portion (I_dev) is the LP's pro-rata contribution to the $60k development tranche.</w:t>
      </w:r>
    </w:p>
    <w:p>
      <w:pPr>
        <w:spacing w:after="120" w:line="300"/>
      </w:pPr>
      <w:r>
        <w:rPr>
          <w:color w:val="3A4A5C"/>
          <w:sz w:val="22"/>
          <w:szCs w:val="22"/>
        </w:rPr>
        <w:t xml:space="preserve">The LP's pro-rata in the cohort is:</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λ = I / T  </w:t>
      </w:r>
    </w:p>
    <w:p>
      <w:pPr>
        <w:spacing w:after="120" w:line="300"/>
      </w:pPr>
      <w:r>
        <w:rPr>
          <w:color w:val="3A4A5C"/>
          <w:sz w:val="22"/>
          <w:szCs w:val="22"/>
        </w:rPr>
        <w:t xml:space="preserve">This ratio governs the LP's stake in the cohort's revenue buckets through the tier-rate × pro-rata formula.</w:t>
      </w:r>
    </w:p>
    <w:p>
      <w:pPr>
        <w:spacing w:after="120" w:line="300"/>
      </w:pPr>
      <w:r>
        <w:rPr>
          <w:color w:val="3A4A5C"/>
          <w:sz w:val="22"/>
          <w:szCs w:val="22"/>
        </w:rPr>
        <w:t xml:space="preserve">The LP's staked XDC is:</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A_LP = I_stake / P = (I − λ · D) / P  </w:t>
      </w:r>
    </w:p>
    <w:p>
      <w:pPr>
        <w:pStyle w:val="Heading1"/>
        <w:pBdr>
          <w:bottom w:val="single" w:color="E8732C" w:sz="12" w:space="4"/>
        </w:pBdr>
        <w:spacing w:after="160" w:before="360"/>
      </w:pPr>
      <w:r>
        <w:rPr>
          <w:rFonts w:ascii="Arial" w:cs="Arial" w:eastAsia="Arial" w:hAnsi="Arial"/>
          <w:b/>
          <w:bCs/>
          <w:color w:val="0F2A44"/>
          <w:sz w:val="36"/>
          <w:szCs w:val="36"/>
        </w:rPr>
        <w:t xml:space="preserve">5. Revenue Streams — Derivation</w:t>
      </w:r>
    </w:p>
    <w:p>
      <w:pPr>
        <w:pStyle w:val="Heading2"/>
        <w:spacing w:after="100" w:before="240"/>
      </w:pPr>
      <w:r>
        <w:rPr>
          <w:rFonts w:ascii="Arial" w:cs="Arial" w:eastAsia="Arial" w:hAnsi="Arial"/>
          <w:b/>
          <w:bCs/>
          <w:color w:val="0F2A44"/>
          <w:sz w:val="26"/>
          <w:szCs w:val="26"/>
        </w:rPr>
        <w:t xml:space="preserve">R₁ — Base staking yield  (no tier adjustment)</w:t>
      </w:r>
    </w:p>
    <w:p>
      <w:pPr>
        <w:spacing w:after="120" w:line="300"/>
      </w:pPr>
      <w:r>
        <w:rPr>
          <w:color w:val="3A4A5C"/>
          <w:sz w:val="22"/>
          <w:szCs w:val="22"/>
        </w:rPr>
        <w:t xml:space="preserve">The LP's delegated XDC earns the network reward (~9% gross) and pays a 15% fee to the protocol. The remaining 85% accrues to the LP. This stream is not subject to the tier rate — every LP receives the same per-dollar yield on their stake.</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R₁ = I_stake × r × (1 − f) = (I − λ·D) × r × (1 − f)  </w:t>
      </w:r>
    </w:p>
    <w:p>
      <w:pPr>
        <w:pStyle w:val="Heading2"/>
        <w:spacing w:after="100" w:before="240"/>
      </w:pPr>
      <w:r>
        <w:rPr>
          <w:rFonts w:ascii="Arial" w:cs="Arial" w:eastAsia="Arial" w:hAnsi="Arial"/>
          <w:b/>
          <w:bCs/>
          <w:color w:val="0F2A44"/>
          <w:sz w:val="26"/>
          <w:szCs w:val="26"/>
        </w:rPr>
        <w:t xml:space="preserve">R₂ — Validator operations margin  (no tier adjustment)</w:t>
      </w:r>
    </w:p>
    <w:p>
      <w:pPr>
        <w:spacing w:after="120" w:line="300"/>
      </w:pPr>
      <w:r>
        <w:rPr>
          <w:color w:val="3A4A5C"/>
          <w:sz w:val="22"/>
          <w:szCs w:val="22"/>
        </w:rPr>
        <w:t xml:space="preserve">Each LP-funded node has its own micro-P&amp;L: 50% of the protocol fee on its 10M XDC stake, minus per-node opex (~$2,250/yr). This stream is also not tier-adjusted; LPs claim their pro-rata share of the cohort's validator margin.</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Node margin per node  =  A_node · r · f · P · ν  −  C_node  </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N_LP = λ · (T − D) / (A_node · P)  </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R₂ = N_LP · (A_node · r · f · P · ν − C_node)  </w:t>
      </w:r>
    </w:p>
    <w:p>
      <w:pPr>
        <w:spacing w:after="120" w:line="300"/>
      </w:pPr>
      <w:r>
        <w:rPr>
          <w:color w:val="3A4A5C"/>
          <w:sz w:val="22"/>
          <w:szCs w:val="22"/>
        </w:rPr>
        <w:t xml:space="preserve">In the central scenarios this term is small and often slightly negative, because per-node opex exceeds the node's fee revenue at low XDC prices. It turns positive at higher token prices.</w:t>
      </w:r>
    </w:p>
    <w:p>
      <w:pPr>
        <w:pStyle w:val="Heading2"/>
        <w:spacing w:after="100" w:before="240"/>
      </w:pPr>
      <w:r>
        <w:rPr>
          <w:rFonts w:ascii="Arial" w:cs="Arial" w:eastAsia="Arial" w:hAnsi="Arial"/>
          <w:b/>
          <w:bCs/>
          <w:color w:val="0F2A44"/>
          <w:sz w:val="26"/>
          <w:szCs w:val="26"/>
        </w:rPr>
        <w:t xml:space="preserve">R₃ — Protocol fee share  (tier-weighted)</w:t>
      </w:r>
    </w:p>
    <w:p>
      <w:pPr>
        <w:spacing w:after="120" w:line="300"/>
      </w:pPr>
      <w:r>
        <w:rPr>
          <w:color w:val="3A4A5C"/>
          <w:sz w:val="22"/>
          <w:szCs w:val="22"/>
        </w:rPr>
        <w:t xml:space="preserve">The protocol's share of the 15% fee accrues across the entire LST TVL. After protocol opex, the LP captures a tier × pro-rata slice of the resulting margin:</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Π = S · r · f · P · (1 − ν)  −  C_protocol(N)  </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R₃ = ρ · λ · max(0, Π)  </w:t>
      </w:r>
    </w:p>
    <w:p>
      <w:pPr>
        <w:spacing w:after="120" w:line="300"/>
      </w:pPr>
      <w:r>
        <w:rPr>
          <w:color w:val="3A4A5C"/>
          <w:sz w:val="22"/>
          <w:szCs w:val="22"/>
        </w:rPr>
        <w:t xml:space="preserve">The max(0, ·) reflects the deal structure: LPs do not absorb protocol losses (the dev tranche acts as runway). When TVL is small enough that protocol revenue does not cover opex, R₃ is zero across all tiers.</w:t>
      </w:r>
    </w:p>
    <w:p>
      <w:pPr>
        <w:spacing w:after="120" w:line="300"/>
      </w:pPr>
      <w:r>
        <w:rPr>
          <w:b/>
          <w:bCs/>
          <w:color w:val="0F2A44"/>
        </w:rPr>
        <w:t xml:space="preserve">Break-even TVL: </w:t>
      </w:r>
      <w:r>
        <w:rPr>
          <w:color w:val="3A4A5C"/>
        </w:rPr>
        <w:t xml:space="preserve">at P = $0.0325, the protocol margin Π crosses zero at roughly S ≈ 215M XDC (≈ 22 active nodes); below that, R₃ is zero regardless of tier rate.</w:t>
      </w:r>
    </w:p>
    <w:p>
      <w:pPr>
        <w:pStyle w:val="Heading2"/>
        <w:spacing w:after="100" w:before="240"/>
      </w:pPr>
      <w:r>
        <w:rPr>
          <w:rFonts w:ascii="Arial" w:cs="Arial" w:eastAsia="Arial" w:hAnsi="Arial"/>
          <w:b/>
          <w:bCs/>
          <w:color w:val="0F2A44"/>
          <w:sz w:val="26"/>
          <w:szCs w:val="26"/>
        </w:rPr>
        <w:t xml:space="preserve">R₄ — Outcome-based compensation  (tier-weighted)</w:t>
      </w:r>
    </w:p>
    <w:p>
      <w:pPr>
        <w:spacing w:after="120" w:line="300"/>
      </w:pPr>
      <w:r>
        <w:rPr>
          <w:color w:val="3A4A5C"/>
          <w:sz w:val="22"/>
          <w:szCs w:val="22"/>
        </w:rPr>
        <w:t xml:space="preserve">OBC is a network-funded XDC bonus pool that scales with the active node count, paid monthly. The pool size is:</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Pool_monthly  =  N · A_node · ω(N)    (XDC)  </w:t>
      </w:r>
    </w:p>
    <w:p>
      <w:pPr>
        <w:spacing w:after="120" w:line="300"/>
      </w:pPr>
      <w:r>
        <w:rPr>
          <w:color w:val="3A4A5C"/>
          <w:sz w:val="22"/>
          <w:szCs w:val="22"/>
        </w:rPr>
        <w:t xml:space="preserve">Where ω(N) is a stepped rate: 0.0005 for ≤20 nodes, 0.0006 for 21–75 nodes, 0.0007 for &gt;75 nodes. Annualised in USD:</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OBC_USD  =  N · A_node · ω(N) · 12 · P  </w:t>
      </w:r>
    </w:p>
    <w:p>
      <w:pPr>
        <w:spacing w:after="120" w:line="300"/>
      </w:pPr>
      <w:r>
        <w:rPr>
          <w:color w:val="3A4A5C"/>
          <w:sz w:val="22"/>
          <w:szCs w:val="22"/>
        </w:rPr>
        <w:t xml:space="preserve">The LP receives a tier × pro-rata slice of this pool:</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R₄ = ρ · λ · OBC_USD  </w:t>
      </w:r>
    </w:p>
    <w:p>
      <w:pPr>
        <w:spacing w:after="120" w:line="300"/>
      </w:pPr>
      <w:r>
        <w:rPr>
          <w:color w:val="3A4A5C"/>
          <w:sz w:val="22"/>
          <w:szCs w:val="22"/>
        </w:rPr>
        <w:t xml:space="preserve">OBC contributes meaningfully in early ramp phases and stays material throughout once the network reaches the higher milestones.</w:t>
      </w:r>
    </w:p>
    <w:p>
      <w:pPr>
        <w:pStyle w:val="Heading2"/>
        <w:spacing w:after="100" w:before="240"/>
      </w:pPr>
      <w:r>
        <w:rPr>
          <w:rFonts w:ascii="Arial" w:cs="Arial" w:eastAsia="Arial" w:hAnsi="Arial"/>
          <w:b/>
          <w:bCs/>
          <w:color w:val="0F2A44"/>
          <w:sz w:val="26"/>
          <w:szCs w:val="26"/>
        </w:rPr>
        <w:t xml:space="preserve">R₅ — Token mark-to-market  (informational)</w:t>
      </w:r>
    </w:p>
    <w:p>
      <w:pPr>
        <w:spacing w:after="120" w:line="300"/>
      </w:pPr>
      <w:r>
        <w:rPr>
          <w:color w:val="3A4A5C"/>
          <w:sz w:val="22"/>
          <w:szCs w:val="22"/>
        </w:rPr>
        <w:t xml:space="preserve">If XDC price appreciates over the lock period, the LP captures 100% of the gain on their staked principal:</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R₅ = A_LP · (P_exit − P_entry)  </w:t>
      </w:r>
    </w:p>
    <w:p>
      <w:pPr>
        <w:spacing w:after="120" w:line="300"/>
      </w:pPr>
      <w:r>
        <w:rPr>
          <w:color w:val="3A4A5C"/>
          <w:sz w:val="22"/>
          <w:szCs w:val="22"/>
        </w:rPr>
        <w:t xml:space="preserve">Under the simulator's single-price assumption, R₅ is zero. R₅ adds materially to total return at target-price scenarios without affecting the cash APY.</w:t>
      </w:r>
    </w:p>
    <w:p>
      <w:pPr>
        <w:pStyle w:val="Heading1"/>
        <w:pBdr>
          <w:bottom w:val="single" w:color="E8732C" w:sz="12" w:space="4"/>
        </w:pBdr>
        <w:spacing w:after="160" w:before="360"/>
      </w:pPr>
      <w:r>
        <w:rPr>
          <w:rFonts w:ascii="Arial" w:cs="Arial" w:eastAsia="Arial" w:hAnsi="Arial"/>
          <w:b/>
          <w:bCs/>
          <w:color w:val="0F2A44"/>
          <w:sz w:val="36"/>
          <w:szCs w:val="36"/>
        </w:rPr>
        <w:t xml:space="preserve">6. Total APY</w:t>
      </w:r>
    </w:p>
    <w:p>
      <w:pPr>
        <w:spacing w:after="120" w:line="300"/>
      </w:pPr>
      <w:r>
        <w:rPr>
          <w:color w:val="3A4A5C"/>
          <w:sz w:val="22"/>
          <w:szCs w:val="22"/>
        </w:rPr>
        <w:t xml:space="preserve">Summing the four cash streams and dividing by the LP's ticket:</w:t>
      </w:r>
    </w:p>
    <w:p>
      <w:pPr>
        <w:pBdr>
          <w:top w:val="single" w:color="D9DEE6" w:sz="6"/>
          <w:bottom w:val="single" w:color="D9DEE6" w:sz="6"/>
          <w:left w:val="single" w:color="D9DEE6" w:sz="6"/>
          <w:right w:val="single" w:color="D9DEE6" w:sz="6"/>
        </w:pBdr>
        <w:shd w:fill="F4F6F9" w:val="clear"/>
        <w:spacing w:after="80" w:before="80"/>
        <w:ind w:left="200" w:right="200"/>
      </w:pPr>
      <w:r>
        <w:rPr>
          <w:rFonts w:ascii="Consolas" w:cs="Consolas" w:eastAsia="Consolas" w:hAnsi="Consolas"/>
          <w:b/>
          <w:bCs/>
          <w:color w:val="0F2A44"/>
          <w:sz w:val="22"/>
          <w:szCs w:val="22"/>
        </w:rPr>
        <w:t xml:space="preserve">  APY = (R₁ + R₂ + R₃ + R₄) / I  </w:t>
      </w:r>
    </w:p>
    <w:p>
      <w:pPr>
        <w:spacing w:after="120" w:line="300"/>
      </w:pPr>
      <w:r>
        <w:rPr>
          <w:color w:val="3A4A5C"/>
          <w:sz w:val="22"/>
          <w:szCs w:val="22"/>
        </w:rPr>
        <w:t xml:space="preserve">The simulator computes this in real time. The companion HTML file (XDC_LST_LP_Simulator.html) exposes interactive sliders for I, P, S, T and the tier rate ρ.</w:t>
      </w:r>
    </w:p>
    <w:p>
      <w:pPr>
        <w:pStyle w:val="Heading1"/>
        <w:pBdr>
          <w:bottom w:val="single" w:color="E8732C" w:sz="12" w:space="4"/>
        </w:pBdr>
        <w:spacing w:after="160" w:before="360"/>
      </w:pPr>
      <w:r>
        <w:rPr>
          <w:rFonts w:ascii="Arial" w:cs="Arial" w:eastAsia="Arial" w:hAnsi="Arial"/>
          <w:b/>
          <w:bCs/>
          <w:color w:val="0F2A44"/>
          <w:sz w:val="36"/>
          <w:szCs w:val="36"/>
        </w:rPr>
        <w:t xml:space="preserve">7. Worked Example — $250k Standard Tier</w:t>
      </w:r>
    </w:p>
    <w:p>
      <w:pPr>
        <w:spacing w:after="200" w:line="320"/>
      </w:pPr>
      <w:r>
        <w:rPr>
          <w:color w:val="0F2A44"/>
          <w:sz w:val="24"/>
          <w:szCs w:val="24"/>
        </w:rPr>
        <w:t xml:space="preserve">Inputs: $250k ticket · constant XDC price $0.0325 · 100M XDC LST TVL · $2M cohort · Standard tier (ρ = 20%).</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900"/>
        <w:gridCol w:w="1900"/>
        <w:gridCol w:w="1800"/>
      </w:tblGrid>
      <w:tr>
        <w:trPr>
          <w:tblHeader/>
        </w:trPr>
        <w:tc>
          <w:tcPr>
            <w:tcW w:type="dxa" w:w="376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Arial" w:cs="Arial" w:eastAsia="Arial" w:hAnsi="Arial"/>
                <w:b/>
                <w:bCs/>
                <w:color w:val="FFFFFF"/>
                <w:sz w:val="19"/>
                <w:szCs w:val="19"/>
              </w:rPr>
              <w:t xml:space="preserve">Quantity</w:t>
            </w:r>
          </w:p>
        </w:tc>
        <w:tc>
          <w:tcPr>
            <w:tcW w:type="dxa" w:w="19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Consolas" w:cs="Consolas" w:eastAsia="Consolas" w:hAnsi="Consolas"/>
                <w:b/>
                <w:bCs/>
                <w:color w:val="FFFFFF"/>
                <w:sz w:val="19"/>
                <w:szCs w:val="19"/>
              </w:rPr>
              <w:t xml:space="preserve">Formula</w:t>
            </w:r>
          </w:p>
        </w:tc>
        <w:tc>
          <w:tcPr>
            <w:tcW w:type="dxa" w:w="19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right"/>
            </w:pPr>
            <w:r>
              <w:rPr>
                <w:rFonts w:ascii="Arial" w:cs="Arial" w:eastAsia="Arial" w:hAnsi="Arial"/>
                <w:b/>
                <w:bCs/>
                <w:color w:val="FFFFFF"/>
                <w:sz w:val="19"/>
                <w:szCs w:val="19"/>
              </w:rPr>
              <w:t xml:space="preserve">Value</w:t>
            </w:r>
          </w:p>
        </w:tc>
        <w:tc>
          <w:tcPr>
            <w:tcW w:type="dxa" w:w="18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Arial" w:cs="Arial" w:eastAsia="Arial" w:hAnsi="Arial"/>
                <w:b/>
                <w:bCs/>
                <w:color w:val="FFFFFF"/>
                <w:sz w:val="19"/>
                <w:szCs w:val="19"/>
              </w:rPr>
              <w:t xml:space="preserve">Notes</w:t>
            </w:r>
          </w:p>
        </w:tc>
      </w:tr>
      <w:tr>
        <w:tc>
          <w:tcPr>
            <w:tcW w:type="dxa" w:w="37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Active network nodes</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S / A_node</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right"/>
            </w:pPr>
            <w:r>
              <w:rPr>
                <w:rFonts w:ascii="Arial" w:cs="Arial" w:eastAsia="Arial" w:hAnsi="Arial"/>
                <w:b/>
                <w:bCs/>
                <w:color w:val="0F2A44"/>
                <w:sz w:val="20"/>
                <w:szCs w:val="20"/>
              </w:rPr>
              <w:t xml:space="preserve">10</w:t>
            </w:r>
          </w:p>
        </w:tc>
        <w:tc>
          <w:tcPr>
            <w:tcW w:type="dxa" w:w="18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6B7280"/>
                <w:sz w:val="18"/>
                <w:szCs w:val="18"/>
              </w:rPr>
              <w:t xml:space="preserve">100M / 10M</w:t>
            </w:r>
          </w:p>
        </w:tc>
      </w:tr>
      <w:tr>
        <w:tc>
          <w:tcPr>
            <w:tcW w:type="dxa" w:w="37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LP pro-rata in cohort  (λ)</w:t>
            </w:r>
          </w:p>
        </w:tc>
        <w:tc>
          <w:tcPr>
            <w:tcW w:type="dxa" w:w="19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I / T</w:t>
            </w:r>
          </w:p>
        </w:tc>
        <w:tc>
          <w:tcPr>
            <w:tcW w:type="dxa" w:w="19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right"/>
            </w:pPr>
            <w:r>
              <w:rPr>
                <w:rFonts w:ascii="Arial" w:cs="Arial" w:eastAsia="Arial" w:hAnsi="Arial"/>
                <w:b/>
                <w:bCs/>
                <w:color w:val="0F2A44"/>
                <w:sz w:val="20"/>
                <w:szCs w:val="20"/>
              </w:rPr>
              <w:t xml:space="preserve">12.50%</w:t>
            </w:r>
          </w:p>
        </w:tc>
        <w:tc>
          <w:tcPr>
            <w:tcW w:type="dxa" w:w="18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6B7280"/>
                <w:sz w:val="18"/>
                <w:szCs w:val="18"/>
              </w:rPr>
              <w:t xml:space="preserve">250k / 2M</w:t>
            </w:r>
          </w:p>
        </w:tc>
      </w:tr>
      <w:tr>
        <w:tc>
          <w:tcPr>
            <w:tcW w:type="dxa" w:w="37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B85A1E"/>
                <w:sz w:val="20"/>
                <w:szCs w:val="20"/>
              </w:rPr>
              <w:t xml:space="preserve">Effective share  (ρ × λ)</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ρ × λ</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right"/>
            </w:pPr>
            <w:r>
              <w:rPr>
                <w:rFonts w:ascii="Arial" w:cs="Arial" w:eastAsia="Arial" w:hAnsi="Arial"/>
                <w:b/>
                <w:bCs/>
                <w:color w:val="B85A1E"/>
                <w:sz w:val="20"/>
                <w:szCs w:val="20"/>
              </w:rPr>
              <w:t xml:space="preserve">2.50%</w:t>
            </w:r>
          </w:p>
        </w:tc>
        <w:tc>
          <w:tcPr>
            <w:tcW w:type="dxa" w:w="18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6B7280"/>
                <w:sz w:val="18"/>
                <w:szCs w:val="18"/>
              </w:rPr>
              <w:t xml:space="preserve">0.20 × 0.125</w:t>
            </w:r>
          </w:p>
        </w:tc>
      </w:tr>
      <w:tr>
        <w:tc>
          <w:tcPr>
            <w:tcW w:type="dxa" w:w="37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LP stake in USD</w:t>
            </w:r>
          </w:p>
        </w:tc>
        <w:tc>
          <w:tcPr>
            <w:tcW w:type="dxa" w:w="19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I − λ·D</w:t>
            </w:r>
          </w:p>
        </w:tc>
        <w:tc>
          <w:tcPr>
            <w:tcW w:type="dxa" w:w="19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right"/>
            </w:pPr>
            <w:r>
              <w:rPr>
                <w:rFonts w:ascii="Arial" w:cs="Arial" w:eastAsia="Arial" w:hAnsi="Arial"/>
                <w:b/>
                <w:bCs/>
                <w:color w:val="0F2A44"/>
                <w:sz w:val="20"/>
                <w:szCs w:val="20"/>
              </w:rPr>
              <w:t xml:space="preserve">$242,500</w:t>
            </w:r>
          </w:p>
        </w:tc>
        <w:tc>
          <w:tcPr>
            <w:tcW w:type="dxa" w:w="18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6B7280"/>
                <w:sz w:val="18"/>
                <w:szCs w:val="18"/>
              </w:rPr>
              <w:t xml:space="preserve">after dev</w:t>
            </w:r>
          </w:p>
        </w:tc>
      </w:tr>
      <w:tr>
        <w:tc>
          <w:tcPr>
            <w:tcW w:type="dxa" w:w="37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LP stake in XDC</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(I − λ·D) / P</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right"/>
            </w:pPr>
            <w:r>
              <w:rPr>
                <w:rFonts w:ascii="Arial" w:cs="Arial" w:eastAsia="Arial" w:hAnsi="Arial"/>
                <w:b/>
                <w:bCs/>
                <w:color w:val="0F2A44"/>
                <w:sz w:val="20"/>
                <w:szCs w:val="20"/>
              </w:rPr>
              <w:t xml:space="preserve">7.46M XDC</w:t>
            </w:r>
          </w:p>
        </w:tc>
        <w:tc>
          <w:tcPr>
            <w:tcW w:type="dxa" w:w="18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6B7280"/>
                <w:sz w:val="18"/>
                <w:szCs w:val="18"/>
              </w:rPr>
              <w:t xml:space="preserve">@ $0.0325</w:t>
            </w:r>
          </w:p>
        </w:tc>
      </w:tr>
      <w:tr>
        <w:tc>
          <w:tcPr>
            <w:tcW w:type="dxa" w:w="37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bCs/>
                <w:color w:val="B85A1E"/>
                <w:sz w:val="20"/>
                <w:szCs w:val="20"/>
              </w:rPr>
              <w:t xml:space="preserve">R₁  Base staking yield</w:t>
            </w:r>
          </w:p>
        </w:tc>
        <w:tc>
          <w:tcPr>
            <w:tcW w:type="dxa" w:w="19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I_stake·r·(1−f)</w:t>
            </w:r>
          </w:p>
        </w:tc>
        <w:tc>
          <w:tcPr>
            <w:tcW w:type="dxa" w:w="19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right"/>
            </w:pPr>
            <w:r>
              <w:rPr>
                <w:rFonts w:ascii="Arial" w:cs="Arial" w:eastAsia="Arial" w:hAnsi="Arial"/>
                <w:b/>
                <w:bCs/>
                <w:color w:val="0F2A44"/>
                <w:sz w:val="20"/>
                <w:szCs w:val="20"/>
              </w:rPr>
              <w:t xml:space="preserve">$18,551</w:t>
            </w:r>
          </w:p>
        </w:tc>
        <w:tc>
          <w:tcPr>
            <w:tcW w:type="dxa" w:w="18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6B7280"/>
                <w:sz w:val="18"/>
                <w:szCs w:val="18"/>
              </w:rPr>
              <w:t xml:space="preserve">242.5k × 7.65%</w:t>
            </w:r>
          </w:p>
        </w:tc>
      </w:tr>
      <w:tr>
        <w:tc>
          <w:tcPr>
            <w:tcW w:type="dxa" w:w="37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B85A1E"/>
                <w:sz w:val="20"/>
                <w:szCs w:val="20"/>
              </w:rPr>
              <w:t xml:space="preserve">R₂  Validator ops margin</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N_LP·(node margin)</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right"/>
            </w:pPr>
            <w:r>
              <w:rPr>
                <w:rFonts w:ascii="Arial" w:cs="Arial" w:eastAsia="Arial" w:hAnsi="Arial"/>
                <w:b/>
                <w:bCs/>
                <w:color w:val="3A4A5C"/>
                <w:sz w:val="20"/>
                <w:szCs w:val="20"/>
              </w:rPr>
              <w:t xml:space="preserve">−$42</w:t>
            </w:r>
          </w:p>
        </w:tc>
        <w:tc>
          <w:tcPr>
            <w:tcW w:type="dxa" w:w="18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6B7280"/>
                <w:sz w:val="18"/>
                <w:szCs w:val="18"/>
              </w:rPr>
              <w:t xml:space="preserve">0.75 × −$56</w:t>
            </w:r>
          </w:p>
        </w:tc>
      </w:tr>
      <w:tr>
        <w:tc>
          <w:tcPr>
            <w:tcW w:type="dxa" w:w="37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bCs/>
                <w:color w:val="B85A1E"/>
                <w:sz w:val="20"/>
                <w:szCs w:val="20"/>
              </w:rPr>
              <w:t xml:space="preserve">R₃  Protocol fee share</w:t>
            </w:r>
          </w:p>
        </w:tc>
        <w:tc>
          <w:tcPr>
            <w:tcW w:type="dxa" w:w="19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ρ·λ·max(0,Π)</w:t>
            </w:r>
          </w:p>
        </w:tc>
        <w:tc>
          <w:tcPr>
            <w:tcW w:type="dxa" w:w="19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right"/>
            </w:pPr>
            <w:r>
              <w:rPr>
                <w:rFonts w:ascii="Arial" w:cs="Arial" w:eastAsia="Arial" w:hAnsi="Arial"/>
                <w:b/>
                <w:bCs/>
                <w:color w:val="3A4A5C"/>
                <w:sz w:val="20"/>
                <w:szCs w:val="20"/>
              </w:rPr>
              <w:t xml:space="preserve">$0</w:t>
            </w:r>
          </w:p>
        </w:tc>
        <w:tc>
          <w:tcPr>
            <w:tcW w:type="dxa" w:w="18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6B7280"/>
                <w:sz w:val="18"/>
                <w:szCs w:val="18"/>
              </w:rPr>
              <w:t xml:space="preserve">Π &lt; 0 at 100M TVL</w:t>
            </w:r>
          </w:p>
        </w:tc>
      </w:tr>
      <w:tr>
        <w:tc>
          <w:tcPr>
            <w:tcW w:type="dxa" w:w="37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B85A1E"/>
                <w:sz w:val="20"/>
                <w:szCs w:val="20"/>
              </w:rPr>
              <w:t xml:space="preserve">R₄  Outcome-based bonus</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ρ·λ·OBC_USD</w:t>
            </w:r>
          </w:p>
        </w:tc>
        <w:tc>
          <w:tcPr>
            <w:tcW w:type="dxa" w:w="19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right"/>
            </w:pPr>
            <w:r>
              <w:rPr>
                <w:rFonts w:ascii="Arial" w:cs="Arial" w:eastAsia="Arial" w:hAnsi="Arial"/>
                <w:b/>
                <w:bCs/>
                <w:color w:val="0F2A44"/>
                <w:sz w:val="20"/>
                <w:szCs w:val="20"/>
              </w:rPr>
              <w:t xml:space="preserve">$488</w:t>
            </w:r>
          </w:p>
        </w:tc>
        <w:tc>
          <w:tcPr>
            <w:tcW w:type="dxa" w:w="18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6B7280"/>
                <w:sz w:val="18"/>
                <w:szCs w:val="18"/>
              </w:rPr>
              <w:t xml:space="preserve">2.5% × $19.5k</w:t>
            </w:r>
          </w:p>
        </w:tc>
      </w:tr>
      <w:tr>
        <w:tc>
          <w:tcPr>
            <w:tcW w:type="dxa" w:w="376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Total annual revenue</w:t>
            </w:r>
          </w:p>
        </w:tc>
        <w:tc>
          <w:tcPr>
            <w:tcW w:type="dxa" w:w="19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R₁+R₂+R₃+R₄</w:t>
            </w:r>
          </w:p>
        </w:tc>
        <w:tc>
          <w:tcPr>
            <w:tcW w:type="dxa" w:w="19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right"/>
            </w:pPr>
            <w:r>
              <w:rPr>
                <w:rFonts w:ascii="Arial" w:cs="Arial" w:eastAsia="Arial" w:hAnsi="Arial"/>
                <w:b/>
                <w:bCs/>
                <w:color w:val="B85A1E"/>
                <w:sz w:val="22"/>
                <w:szCs w:val="22"/>
              </w:rPr>
              <w:t xml:space="preserve">$18,997</w:t>
            </w:r>
          </w:p>
        </w:tc>
        <w:tc>
          <w:tcPr>
            <w:tcW w:type="dxa" w:w="18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20"/>
                <w:szCs w:val="20"/>
              </w:rPr>
              <w:t xml:space="preserve"/>
            </w:r>
          </w:p>
        </w:tc>
      </w:tr>
      <w:tr>
        <w:tc>
          <w:tcPr>
            <w:tcW w:type="dxa" w:w="376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left"/>
            </w:pPr>
            <w:r>
              <w:rPr>
                <w:rFonts w:ascii="Arial" w:cs="Arial" w:eastAsia="Arial" w:hAnsi="Arial"/>
                <w:b/>
                <w:bCs/>
                <w:color w:val="0F2A44"/>
                <w:sz w:val="20"/>
                <w:szCs w:val="20"/>
              </w:rPr>
              <w:t xml:space="preserve">APY</w:t>
            </w:r>
          </w:p>
        </w:tc>
        <w:tc>
          <w:tcPr>
            <w:tcW w:type="dxa" w:w="19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left"/>
            </w:pPr>
            <w:r>
              <w:rPr>
                <w:rFonts w:ascii="Consolas" w:cs="Consolas" w:eastAsia="Consolas" w:hAnsi="Consolas"/>
                <w:b w:val="false"/>
                <w:bCs w:val="false"/>
                <w:color w:val="3A4A5C"/>
                <w:sz w:val="18"/>
                <w:szCs w:val="18"/>
              </w:rPr>
              <w:t xml:space="preserve">Total / I</w:t>
            </w:r>
          </w:p>
        </w:tc>
        <w:tc>
          <w:tcPr>
            <w:tcW w:type="dxa" w:w="19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right"/>
            </w:pPr>
            <w:r>
              <w:rPr>
                <w:rFonts w:ascii="Arial" w:cs="Arial" w:eastAsia="Arial" w:hAnsi="Arial"/>
                <w:b/>
                <w:bCs/>
                <w:color w:val="B85A1E"/>
                <w:sz w:val="24"/>
                <w:szCs w:val="24"/>
              </w:rPr>
              <w:t xml:space="preserve">7.60%</w:t>
            </w:r>
          </w:p>
        </w:tc>
        <w:tc>
          <w:tcPr>
            <w:tcW w:type="dxa" w:w="18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20"/>
                <w:szCs w:val="20"/>
              </w:rPr>
              <w:t xml:space="preserve"/>
            </w:r>
          </w:p>
        </w:tc>
      </w:tr>
    </w:tbl>
    <w:p>
      <w:pPr>
        <w:spacing w:after="140"/>
      </w:pPr>
      <w:r>
        <w:t xml:space="preserve"/>
      </w:r>
    </w:p>
    <w:p>
      <w:pPr>
        <w:spacing w:after="120" w:line="300"/>
      </w:pPr>
      <w:r>
        <w:rPr>
          <w:b/>
          <w:bCs/>
          <w:color w:val="0F2A44"/>
        </w:rPr>
        <w:t xml:space="preserve">Reading: </w:t>
      </w:r>
      <w:r>
        <w:rPr>
          <w:color w:val="3A4A5C"/>
        </w:rPr>
        <w:t xml:space="preserve">at this combination of inputs, almost all of the LP's yield comes from base staking. R₃ is zero because the LST has not yet reached enough TVL to cover protocol opex; R₄ is small because the OBC pool at 10 nodes is modest. As the network ramps to 50–100 active nodes (500M–1B XDC TVL), both R₃ and R₄ scale up materially — and an Anchor LP at 40% tier rate captures double the per-dollar rate.</w:t>
      </w:r>
    </w:p>
    <w:p>
      <w:pPr>
        <w:pStyle w:val="Heading1"/>
        <w:pBdr>
          <w:bottom w:val="single" w:color="E8732C" w:sz="12" w:space="4"/>
        </w:pBdr>
        <w:spacing w:after="160" w:before="360"/>
      </w:pPr>
      <w:r>
        <w:rPr>
          <w:rFonts w:ascii="Arial" w:cs="Arial" w:eastAsia="Arial" w:hAnsi="Arial"/>
          <w:b/>
          <w:bCs/>
          <w:color w:val="0F2A44"/>
          <w:sz w:val="36"/>
          <w:szCs w:val="36"/>
        </w:rPr>
        <w:t xml:space="preserve">8. Sensitivity Across Tiers</w:t>
      </w:r>
    </w:p>
    <w:p>
      <w:pPr>
        <w:spacing w:after="120" w:line="300"/>
      </w:pPr>
      <w:r>
        <w:rPr>
          <w:color w:val="3A4A5C"/>
          <w:sz w:val="22"/>
          <w:szCs w:val="22"/>
        </w:rPr>
        <w:t xml:space="preserve">Holding XDC price at $0.0325 and the cohort at $2M, the table below shows projected APY for each tier across a TVL grid. Each LP commits the ticket size canonical for their tier (Standard $250k, Strategic $500k, Anchor $1M).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Arial" w:cs="Arial" w:eastAsia="Arial" w:hAnsi="Arial"/>
                <w:b/>
                <w:bCs/>
                <w:color w:val="FFFFFF"/>
                <w:sz w:val="18"/>
                <w:szCs w:val="18"/>
              </w:rPr>
              <w:t xml:space="preserve">Total TVL  ↓</w:t>
            </w:r>
          </w:p>
        </w:tc>
        <w:tc>
          <w:tcPr>
            <w:tcW w:type="dxa" w:w="25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18"/>
                <w:szCs w:val="18"/>
              </w:rPr>
              <w:t xml:space="preserve">Standard ($250k · 20%)</w:t>
            </w:r>
          </w:p>
        </w:tc>
        <w:tc>
          <w:tcPr>
            <w:tcW w:type="dxa" w:w="25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18"/>
                <w:szCs w:val="18"/>
              </w:rPr>
              <w:t xml:space="preserve">Strategic ($500k · 30%)</w:t>
            </w:r>
          </w:p>
        </w:tc>
        <w:tc>
          <w:tcPr>
            <w:tcW w:type="dxa" w:w="25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18"/>
                <w:szCs w:val="18"/>
              </w:rPr>
              <w:t xml:space="preserve">Anchor ($1M · 40%)</w:t>
            </w:r>
          </w:p>
        </w:tc>
      </w:tr>
      <w:tr>
        <w:tc>
          <w:tcPr>
            <w:tcW w:type="dxa" w:w="18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0F2A44"/>
                <w:sz w:val="19"/>
                <w:szCs w:val="19"/>
              </w:rPr>
              <w:t xml:space="preserve">100M XDC  (10 nodes)</w:t>
            </w:r>
          </w:p>
        </w:tc>
        <w:tc>
          <w:tcPr>
            <w:tcW w:type="dxa" w:w="2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7.60%</w:t>
            </w:r>
          </w:p>
        </w:tc>
        <w:tc>
          <w:tcPr>
            <w:tcW w:type="dxa" w:w="2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7.70%</w:t>
            </w:r>
          </w:p>
        </w:tc>
        <w:tc>
          <w:tcPr>
            <w:tcW w:type="dxa" w:w="2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B85A1E"/>
                <w:sz w:val="19"/>
                <w:szCs w:val="19"/>
              </w:rPr>
              <w:t xml:space="preserve">7.79%</w:t>
            </w:r>
          </w:p>
        </w:tc>
      </w:tr>
      <w:tr>
        <w:tc>
          <w:tcPr>
            <w:tcW w:type="dxa" w:w="18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bCs/>
                <w:color w:val="0F2A44"/>
                <w:sz w:val="19"/>
                <w:szCs w:val="19"/>
              </w:rPr>
              <w:t xml:space="preserve">250M XDC  (25 nodes)</w:t>
            </w:r>
          </w:p>
        </w:tc>
        <w:tc>
          <w:tcPr>
            <w:tcW w:type="dxa" w:w="2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7.99%</w:t>
            </w:r>
          </w:p>
        </w:tc>
        <w:tc>
          <w:tcPr>
            <w:tcW w:type="dxa" w:w="2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8.28%</w:t>
            </w:r>
          </w:p>
        </w:tc>
        <w:tc>
          <w:tcPr>
            <w:tcW w:type="dxa" w:w="2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B85A1E"/>
                <w:sz w:val="19"/>
                <w:szCs w:val="19"/>
              </w:rPr>
              <w:t xml:space="preserve">8.57%</w:t>
            </w:r>
          </w:p>
        </w:tc>
      </w:tr>
      <w:tr>
        <w:tc>
          <w:tcPr>
            <w:tcW w:type="dxa" w:w="18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0F2A44"/>
                <w:sz w:val="19"/>
                <w:szCs w:val="19"/>
              </w:rPr>
              <w:t xml:space="preserve">500M XDC  (50 nodes)</w:t>
            </w:r>
          </w:p>
        </w:tc>
        <w:tc>
          <w:tcPr>
            <w:tcW w:type="dxa" w:w="2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8.90%</w:t>
            </w:r>
          </w:p>
        </w:tc>
        <w:tc>
          <w:tcPr>
            <w:tcW w:type="dxa" w:w="2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9.65%</w:t>
            </w:r>
          </w:p>
        </w:tc>
        <w:tc>
          <w:tcPr>
            <w:tcW w:type="dxa" w:w="2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B85A1E"/>
                <w:sz w:val="19"/>
                <w:szCs w:val="19"/>
              </w:rPr>
              <w:t xml:space="preserve">10.40%</w:t>
            </w:r>
          </w:p>
        </w:tc>
      </w:tr>
      <w:tr>
        <w:tc>
          <w:tcPr>
            <w:tcW w:type="dxa" w:w="18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bCs/>
                <w:color w:val="0F2A44"/>
                <w:sz w:val="19"/>
                <w:szCs w:val="19"/>
              </w:rPr>
              <w:t xml:space="preserve">750M XDC  (75 nodes)</w:t>
            </w:r>
          </w:p>
        </w:tc>
        <w:tc>
          <w:tcPr>
            <w:tcW w:type="dxa" w:w="2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9.85%</w:t>
            </w:r>
          </w:p>
        </w:tc>
        <w:tc>
          <w:tcPr>
            <w:tcW w:type="dxa" w:w="2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11.07%</w:t>
            </w:r>
          </w:p>
        </w:tc>
        <w:tc>
          <w:tcPr>
            <w:tcW w:type="dxa" w:w="2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B85A1E"/>
                <w:sz w:val="19"/>
                <w:szCs w:val="19"/>
              </w:rPr>
              <w:t xml:space="preserve">12.29%</w:t>
            </w:r>
          </w:p>
        </w:tc>
      </w:tr>
      <w:tr>
        <w:tc>
          <w:tcPr>
            <w:tcW w:type="dxa" w:w="18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bCs/>
                <w:color w:val="0F2A44"/>
                <w:sz w:val="19"/>
                <w:szCs w:val="19"/>
              </w:rPr>
              <w:t xml:space="preserve">1000M XDC  (100 nodes)</w:t>
            </w:r>
          </w:p>
        </w:tc>
        <w:tc>
          <w:tcPr>
            <w:tcW w:type="dxa" w:w="2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11.19%</w:t>
            </w:r>
          </w:p>
        </w:tc>
        <w:tc>
          <w:tcPr>
            <w:tcW w:type="dxa" w:w="2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13.08%</w:t>
            </w:r>
          </w:p>
        </w:tc>
        <w:tc>
          <w:tcPr>
            <w:tcW w:type="dxa" w:w="25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B85A1E"/>
                <w:sz w:val="19"/>
                <w:szCs w:val="19"/>
              </w:rPr>
              <w:t xml:space="preserve">14.97%</w:t>
            </w:r>
          </w:p>
        </w:tc>
      </w:tr>
      <w:tr>
        <w:tc>
          <w:tcPr>
            <w:tcW w:type="dxa" w:w="18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bCs/>
                <w:color w:val="0F2A44"/>
                <w:sz w:val="19"/>
                <w:szCs w:val="19"/>
              </w:rPr>
              <w:t xml:space="preserve">1500M XDC  (150 nodes)</w:t>
            </w:r>
          </w:p>
        </w:tc>
        <w:tc>
          <w:tcPr>
            <w:tcW w:type="dxa" w:w="2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13.28%</w:t>
            </w:r>
          </w:p>
        </w:tc>
        <w:tc>
          <w:tcPr>
            <w:tcW w:type="dxa" w:w="2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0F2A44"/>
                <w:sz w:val="19"/>
                <w:szCs w:val="19"/>
              </w:rPr>
              <w:t xml:space="preserve">16.22%</w:t>
            </w:r>
          </w:p>
        </w:tc>
        <w:tc>
          <w:tcPr>
            <w:tcW w:type="dxa" w:w="25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B85A1E"/>
                <w:sz w:val="19"/>
                <w:szCs w:val="19"/>
              </w:rPr>
              <w:t xml:space="preserve">19.15%</w:t>
            </w:r>
          </w:p>
        </w:tc>
      </w:tr>
    </w:tbl>
    <w:p>
      <w:pPr>
        <w:spacing w:after="140"/>
      </w:pPr>
      <w:r>
        <w:t xml:space="preserve"/>
      </w:r>
    </w:p>
    <w:p>
      <w:pPr>
        <w:spacing w:after="120" w:line="300"/>
      </w:pPr>
      <w:r>
        <w:rPr>
          <w:b/>
          <w:bCs/>
          <w:color w:val="0F2A44"/>
        </w:rPr>
        <w:t xml:space="preserve">Three takeaways: </w:t>
      </w:r>
      <w:r>
        <w:rPr>
          <w:color w:val="3A4A5C"/>
        </w:rPr>
        <w:t xml:space="preserve">(i) at low TVL, all tiers converge near the base staking APY (~7.5%), since R₃ and R₄ are small or zero; (ii) once the network reaches ~250M XDC, the tier ladder opens up and Anchor APY pulls away materially; (iii) at full ramp (1B+ XDC), the spread between tiers can exceed 6 percentage points.</w:t>
      </w:r>
    </w:p>
    <w:p>
      <w:pPr>
        <w:pStyle w:val="Heading1"/>
        <w:pBdr>
          <w:bottom w:val="single" w:color="E8732C" w:sz="12" w:space="4"/>
        </w:pBdr>
        <w:spacing w:after="160" w:before="360"/>
      </w:pPr>
      <w:r>
        <w:rPr>
          <w:rFonts w:ascii="Arial" w:cs="Arial" w:eastAsia="Arial" w:hAnsi="Arial"/>
          <w:b/>
          <w:bCs/>
          <w:color w:val="0F2A44"/>
          <w:sz w:val="36"/>
          <w:szCs w:val="36"/>
        </w:rPr>
        <w:t xml:space="preserve">9. Cohort Composition Impact</w:t>
      </w:r>
    </w:p>
    <w:p>
      <w:pPr>
        <w:spacing w:after="120" w:line="300"/>
      </w:pPr>
      <w:r>
        <w:rPr>
          <w:color w:val="3A4A5C"/>
          <w:sz w:val="22"/>
          <w:szCs w:val="22"/>
        </w:rPr>
        <w:t xml:space="preserve">With the tier-rate × pro-rata mechanic, the share of each pool that gets distributed to LPs depends on cohort composition. The table below shows a few illustrative cases for a $2M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000"/>
        <w:gridCol w:w="2660"/>
      </w:tblGrid>
      <w:tr>
        <w:trPr>
          <w:tblHeader/>
        </w:trPr>
        <w:tc>
          <w:tcPr>
            <w:tcW w:type="dxa" w:w="37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left"/>
            </w:pPr>
            <w:r>
              <w:rPr>
                <w:rFonts w:ascii="Arial" w:cs="Arial" w:eastAsia="Arial" w:hAnsi="Arial"/>
                <w:b/>
                <w:bCs/>
                <w:color w:val="FFFFFF"/>
                <w:sz w:val="19"/>
                <w:szCs w:val="19"/>
              </w:rPr>
              <w:t xml:space="preserve">Cohort composition</w:t>
            </w:r>
          </w:p>
        </w:tc>
        <w:tc>
          <w:tcPr>
            <w:tcW w:type="dxa" w:w="300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19"/>
                <w:szCs w:val="19"/>
              </w:rPr>
              <w:t xml:space="preserve">Pool distributed to LPs</w:t>
            </w:r>
          </w:p>
        </w:tc>
        <w:tc>
          <w:tcPr>
            <w:tcW w:type="dxa" w:w="2660"/>
            <w:tcBorders>
              <w:top w:val="single" w:color="D9DEE6" w:sz="6"/>
              <w:left w:val="single" w:color="D9DEE6" w:sz="6"/>
              <w:bottom w:val="single" w:color="D9DEE6" w:sz="6"/>
              <w:right w:val="single" w:color="D9DEE6" w:sz="6"/>
            </w:tcBorders>
            <w:shd w:fill="0F2A44" w:val="clear"/>
            <w:tcMar>
              <w:top w:type="dxa" w:w="80"/>
              <w:left w:type="dxa" w:w="120"/>
              <w:bottom w:type="dxa" w:w="80"/>
              <w:right w:type="dxa" w:w="120"/>
            </w:tcMar>
          </w:tcPr>
          <w:p>
            <w:pPr>
              <w:spacing w:after="30" w:before="30"/>
              <w:jc w:val="center"/>
            </w:pPr>
            <w:r>
              <w:rPr>
                <w:rFonts w:ascii="Arial" w:cs="Arial" w:eastAsia="Arial" w:hAnsi="Arial"/>
                <w:b/>
                <w:bCs/>
                <w:color w:val="FFFFFF"/>
                <w:sz w:val="19"/>
                <w:szCs w:val="19"/>
              </w:rPr>
              <w:t xml:space="preserve">Retained by protocol</w:t>
            </w:r>
          </w:p>
        </w:tc>
      </w:tr>
      <w:tr>
        <w:tc>
          <w:tcPr>
            <w:tcW w:type="dxa" w:w="37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20"/>
                <w:szCs w:val="20"/>
              </w:rPr>
              <w:t xml:space="preserve">8 × $250k (all Standard)</w:t>
            </w:r>
          </w:p>
        </w:tc>
        <w:tc>
          <w:tcPr>
            <w:tcW w:type="dxa" w:w="30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20.0%</w:t>
            </w:r>
          </w:p>
        </w:tc>
        <w:tc>
          <w:tcPr>
            <w:tcW w:type="dxa" w:w="26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val="false"/>
                <w:bCs w:val="false"/>
                <w:color w:val="6B7280"/>
                <w:sz w:val="20"/>
                <w:szCs w:val="20"/>
              </w:rPr>
              <w:t xml:space="preserve">80.0%</w:t>
            </w:r>
          </w:p>
        </w:tc>
      </w:tr>
      <w:tr>
        <w:tc>
          <w:tcPr>
            <w:tcW w:type="dxa" w:w="37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20"/>
                <w:szCs w:val="20"/>
              </w:rPr>
              <w:t xml:space="preserve">4 × $500k (all Strategic)</w:t>
            </w:r>
          </w:p>
        </w:tc>
        <w:tc>
          <w:tcPr>
            <w:tcW w:type="dxa" w:w="300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30.0%</w:t>
            </w:r>
          </w:p>
        </w:tc>
        <w:tc>
          <w:tcPr>
            <w:tcW w:type="dxa" w:w="2660"/>
            <w:tcBorders>
              <w:top w:val="single" w:color="D9DEE6" w:sz="6"/>
              <w:left w:val="single" w:color="D9DEE6" w:sz="6"/>
              <w:bottom w:val="single" w:color="D9DEE6" w:sz="6"/>
              <w:right w:val="single" w:color="D9DEE6" w:sz="6"/>
            </w:tcBorders>
            <w:shd w:fill="F4F6F9" w:val="clear"/>
            <w:tcMar>
              <w:top w:type="dxa" w:w="80"/>
              <w:left w:type="dxa" w:w="120"/>
              <w:bottom w:type="dxa" w:w="80"/>
              <w:right w:type="dxa" w:w="120"/>
            </w:tcMar>
          </w:tcPr>
          <w:p>
            <w:pPr>
              <w:spacing w:after="30" w:before="30"/>
              <w:jc w:val="center"/>
            </w:pPr>
            <w:r>
              <w:rPr>
                <w:rFonts w:ascii="Arial" w:cs="Arial" w:eastAsia="Arial" w:hAnsi="Arial"/>
                <w:b w:val="false"/>
                <w:bCs w:val="false"/>
                <w:color w:val="6B7280"/>
                <w:sz w:val="20"/>
                <w:szCs w:val="20"/>
              </w:rPr>
              <w:t xml:space="preserve">70.0%</w:t>
            </w:r>
          </w:p>
        </w:tc>
      </w:tr>
      <w:tr>
        <w:tc>
          <w:tcPr>
            <w:tcW w:type="dxa" w:w="37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left"/>
            </w:pPr>
            <w:r>
              <w:rPr>
                <w:rFonts w:ascii="Arial" w:cs="Arial" w:eastAsia="Arial" w:hAnsi="Arial"/>
                <w:b w:val="false"/>
                <w:bCs w:val="false"/>
                <w:color w:val="3A4A5C"/>
                <w:sz w:val="20"/>
                <w:szCs w:val="20"/>
              </w:rPr>
              <w:t xml:space="preserve">2×$250k + $500k + $1M (your example)</w:t>
            </w:r>
          </w:p>
        </w:tc>
        <w:tc>
          <w:tcPr>
            <w:tcW w:type="dxa" w:w="300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bCs/>
                <w:color w:val="0F2A44"/>
                <w:sz w:val="20"/>
                <w:szCs w:val="20"/>
              </w:rPr>
              <w:t xml:space="preserve">32.5%</w:t>
            </w:r>
          </w:p>
        </w:tc>
        <w:tc>
          <w:tcPr>
            <w:tcW w:type="dxa" w:w="2660"/>
            <w:tcBorders>
              <w:top w:val="single" w:color="D9DEE6" w:sz="6"/>
              <w:left w:val="single" w:color="D9DEE6" w:sz="6"/>
              <w:bottom w:val="single" w:color="D9DEE6" w:sz="6"/>
              <w:right w:val="single" w:color="D9DEE6" w:sz="6"/>
            </w:tcBorders>
            <w:tcMar>
              <w:top w:type="dxa" w:w="80"/>
              <w:left w:type="dxa" w:w="120"/>
              <w:bottom w:type="dxa" w:w="80"/>
              <w:right w:type="dxa" w:w="120"/>
            </w:tcMar>
          </w:tcPr>
          <w:p>
            <w:pPr>
              <w:spacing w:after="30" w:before="30"/>
              <w:jc w:val="center"/>
            </w:pPr>
            <w:r>
              <w:rPr>
                <w:rFonts w:ascii="Arial" w:cs="Arial" w:eastAsia="Arial" w:hAnsi="Arial"/>
                <w:b w:val="false"/>
                <w:bCs w:val="false"/>
                <w:color w:val="6B7280"/>
                <w:sz w:val="20"/>
                <w:szCs w:val="20"/>
              </w:rPr>
              <w:t xml:space="preserve">67.5%</w:t>
            </w:r>
          </w:p>
        </w:tc>
      </w:tr>
      <w:tr>
        <w:tc>
          <w:tcPr>
            <w:tcW w:type="dxa" w:w="37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left"/>
            </w:pPr>
            <w:r>
              <w:rPr>
                <w:rFonts w:ascii="Arial" w:cs="Arial" w:eastAsia="Arial" w:hAnsi="Arial"/>
                <w:b w:val="false"/>
                <w:bCs w:val="false"/>
                <w:color w:val="3A4A5C"/>
                <w:sz w:val="20"/>
                <w:szCs w:val="20"/>
              </w:rPr>
              <w:t xml:space="preserve">2 × $1M (all Anchor)</w:t>
            </w:r>
          </w:p>
        </w:tc>
        <w:tc>
          <w:tcPr>
            <w:tcW w:type="dxa" w:w="300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center"/>
            </w:pPr>
            <w:r>
              <w:rPr>
                <w:rFonts w:ascii="Arial" w:cs="Arial" w:eastAsia="Arial" w:hAnsi="Arial"/>
                <w:b/>
                <w:bCs/>
                <w:color w:val="B85A1E"/>
                <w:sz w:val="22"/>
                <w:szCs w:val="22"/>
              </w:rPr>
              <w:t xml:space="preserve">40.0%</w:t>
            </w:r>
          </w:p>
        </w:tc>
        <w:tc>
          <w:tcPr>
            <w:tcW w:type="dxa" w:w="2660"/>
            <w:tcBorders>
              <w:top w:val="single" w:color="D9DEE6" w:sz="6"/>
              <w:left w:val="single" w:color="D9DEE6" w:sz="6"/>
              <w:bottom w:val="single" w:color="D9DEE6" w:sz="6"/>
              <w:right w:val="single" w:color="D9DEE6" w:sz="6"/>
            </w:tcBorders>
            <w:shd w:fill="FDEFE2" w:val="clear"/>
            <w:tcMar>
              <w:top w:type="dxa" w:w="80"/>
              <w:left w:type="dxa" w:w="120"/>
              <w:bottom w:type="dxa" w:w="80"/>
              <w:right w:type="dxa" w:w="120"/>
            </w:tcMar>
          </w:tcPr>
          <w:p>
            <w:pPr>
              <w:spacing w:after="30" w:before="30"/>
              <w:jc w:val="center"/>
            </w:pPr>
            <w:r>
              <w:rPr>
                <w:rFonts w:ascii="Arial" w:cs="Arial" w:eastAsia="Arial" w:hAnsi="Arial"/>
                <w:b w:val="false"/>
                <w:bCs w:val="false"/>
                <w:color w:val="6B7280"/>
                <w:sz w:val="20"/>
                <w:szCs w:val="20"/>
              </w:rPr>
              <w:t xml:space="preserve">60.0%</w:t>
            </w:r>
          </w:p>
        </w:tc>
      </w:tr>
    </w:tbl>
    <w:p>
      <w:pPr>
        <w:spacing w:after="140"/>
      </w:pPr>
      <w:r>
        <w:t xml:space="preserve"/>
      </w:r>
    </w:p>
    <w:p>
      <w:pPr>
        <w:spacing w:after="120" w:line="300"/>
      </w:pPr>
      <w:r>
        <w:rPr>
          <w:b/>
          <w:bCs/>
          <w:color w:val="0F2A44"/>
        </w:rPr>
        <w:t xml:space="preserve">Practical implication for negotiation: </w:t>
      </w:r>
      <w:r>
        <w:rPr>
          <w:color w:val="3A4A5C"/>
        </w:rPr>
        <w:t xml:space="preserve">a higher concentration of Anchors increases total LP take, which can be framed as an alignment signal to the foundation. Conversely, a mostly-retail cohort retains more value in the protocol — useful runway when securing foundation top-up support is less certain.</w:t>
      </w:r>
    </w:p>
    <w:p>
      <w:pPr>
        <w:pStyle w:val="Heading1"/>
        <w:pBdr>
          <w:bottom w:val="single" w:color="E8732C" w:sz="12" w:space="4"/>
        </w:pBdr>
        <w:spacing w:after="160" w:before="360"/>
      </w:pPr>
      <w:r>
        <w:rPr>
          <w:rFonts w:ascii="Arial" w:cs="Arial" w:eastAsia="Arial" w:hAnsi="Arial"/>
          <w:b/>
          <w:bCs/>
          <w:color w:val="0F2A44"/>
          <w:sz w:val="36"/>
          <w:szCs w:val="36"/>
        </w:rPr>
        <w:t xml:space="preserve">10. Notes and Limitations</w:t>
      </w:r>
    </w:p>
    <w:p>
      <w:pPr>
        <w:spacing w:after="120" w:line="300"/>
      </w:pPr>
      <w:r>
        <w:rPr>
          <w:color w:val="3A4A5C"/>
          <w:sz w:val="22"/>
          <w:szCs w:val="22"/>
        </w:rPr>
        <w:t xml:space="preserve">The model assumes:</w:t>
      </w:r>
    </w:p>
    <w:p>
      <w:pPr>
        <w:pStyle w:val="ListParagraph"/>
        <w:numPr>
          <w:ilvl w:val="0"/>
          <w:numId w:val="2"/>
        </w:numPr>
        <w:spacing w:after="60" w:line="280"/>
      </w:pPr>
      <w:r>
        <w:rPr>
          <w:color w:val="3A4A5C"/>
          <w:sz w:val="22"/>
          <w:szCs w:val="22"/>
        </w:rPr>
        <w:t xml:space="preserve">Constant XDC price for the lock period (no compounding from price drift).</w:t>
      </w:r>
    </w:p>
    <w:p>
      <w:pPr>
        <w:pStyle w:val="ListParagraph"/>
        <w:numPr>
          <w:ilvl w:val="0"/>
          <w:numId w:val="2"/>
        </w:numPr>
        <w:spacing w:after="60" w:line="280"/>
      </w:pPr>
      <w:r>
        <w:rPr>
          <w:color w:val="3A4A5C"/>
          <w:sz w:val="22"/>
          <w:szCs w:val="22"/>
        </w:rPr>
        <w:t xml:space="preserve">Steady-state TVL at the user-specified value (no ramp curve modelled).</w:t>
      </w:r>
    </w:p>
    <w:p>
      <w:pPr>
        <w:pStyle w:val="ListParagraph"/>
        <w:numPr>
          <w:ilvl w:val="0"/>
          <w:numId w:val="2"/>
        </w:numPr>
        <w:spacing w:after="60" w:line="280"/>
      </w:pPr>
      <w:r>
        <w:rPr>
          <w:color w:val="3A4A5C"/>
          <w:sz w:val="22"/>
          <w:szCs w:val="22"/>
        </w:rPr>
        <w:t xml:space="preserve">Pro-rata cohort economics — all LPs share each bucket via the tier × pro-rata formula.</w:t>
      </w:r>
    </w:p>
    <w:p>
      <w:pPr>
        <w:pStyle w:val="ListParagraph"/>
        <w:numPr>
          <w:ilvl w:val="0"/>
          <w:numId w:val="2"/>
        </w:numPr>
        <w:spacing w:after="60" w:line="280"/>
      </w:pPr>
      <w:r>
        <w:rPr>
          <w:color w:val="3A4A5C"/>
          <w:sz w:val="22"/>
          <w:szCs w:val="22"/>
        </w:rPr>
        <w:t xml:space="preserve">LPs do not absorb protocol losses; the dev tranche acts as runway when Π is negative.</w:t>
      </w:r>
    </w:p>
    <w:p>
      <w:pPr>
        <w:pStyle w:val="ListParagraph"/>
        <w:numPr>
          <w:ilvl w:val="0"/>
          <w:numId w:val="2"/>
        </w:numPr>
        <w:spacing w:after="60" w:line="280"/>
      </w:pPr>
      <w:r>
        <w:rPr>
          <w:color w:val="3A4A5C"/>
          <w:sz w:val="22"/>
          <w:szCs w:val="22"/>
        </w:rPr>
        <w:t xml:space="preserve">Slashing and validator downtime are not modelled (covered separately in the Risk Framework).</w:t>
      </w:r>
    </w:p>
    <w:p>
      <w:pPr>
        <w:pStyle w:val="ListParagraph"/>
        <w:numPr>
          <w:ilvl w:val="0"/>
          <w:numId w:val="2"/>
        </w:numPr>
        <w:spacing w:after="60" w:line="280"/>
      </w:pPr>
      <w:r>
        <w:rPr>
          <w:color w:val="3A4A5C"/>
          <w:sz w:val="22"/>
          <w:szCs w:val="22"/>
        </w:rPr>
        <w:t xml:space="preserve">Tier rates (20% / 30% / 40%) are illustrative defaults; final values to be set in term sheet.</w:t>
      </w:r>
    </w:p>
    <w:p>
      <w:pPr>
        <w:spacing w:after="120" w:line="300"/>
      </w:pPr>
      <w:r>
        <w:rPr>
          <w:color w:val="3A4A5C"/>
          <w:sz w:val="22"/>
          <w:szCs w:val="22"/>
        </w:rPr>
        <w:t xml:space="preserve">For monthly cash-flow projections, IRR over the lock, or alternative tier ladders, the simulator can be adapted by adjusting the tier rate constants in the JavaScript block.</w:t>
      </w:r>
    </w:p>
    <w:p>
      <w:pPr>
        <w:pBdr>
          <w:top w:val="single" w:color="D9DEE6" w:sz="6" w:space="8"/>
        </w:pBdr>
        <w:spacing w:before="360"/>
      </w:pPr>
      <w:r>
        <w:rPr>
          <w:b/>
          <w:bCs/>
          <w:color w:val="6B7280"/>
          <w:sz w:val="16"/>
          <w:szCs w:val="16"/>
        </w:rPr>
        <w:t xml:space="preserve">Disclaimer. </w:t>
      </w:r>
      <w:r>
        <w:rPr>
          <w:color w:val="6B7280"/>
          <w:sz w:val="16"/>
          <w:szCs w:val="16"/>
        </w:rPr>
        <w:t xml:space="preserve">This document is a model derivation and is provided for information only. Figures are model outputs based on the stated assumptions and constants and do not constitute an offer, guarantee of return, or financial advice. Final terms are subject to definitive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6"/>
        <w:szCs w:val="16"/>
      </w:rPr>
      <w:t xml:space="preserve">Confidential  ·  For prospective LPs</w:t>
    </w:r>
    <w:r>
      <w:rPr>
        <w:color w:val="6B7280"/>
        <w:sz w:val="16"/>
        <w:szCs w:val="16"/>
      </w:rPr>
      <w:t xml:space="preserve">	Page </w:t>
    </w:r>
    <w:r>
      <w:rPr>
        <w:b/>
        <w:bC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32C" w:sz="6" w:space="4"/>
      </w:pBdr>
      <w:tabs>
        <w:tab w:val="right" w:pos="9026"/>
      </w:tabs>
      <w:spacing w:after="60"/>
    </w:pPr>
    <w:r>
      <w:rPr>
        <w:b/>
        <w:bCs/>
        <w:color w:val="B85A1E"/>
        <w:spacing w:val="30"/>
        <w:sz w:val="16"/>
        <w:szCs w:val="16"/>
      </w:rPr>
      <w:t xml:space="preserve">PROTOFIRE  ·  XDC LIQUID STAKING</w:t>
    </w:r>
    <w:r>
      <w:rPr>
        <w:color w:val="6B7280"/>
        <w:sz w:val="16"/>
        <w:szCs w:val="16"/>
      </w:rPr>
      <w:t xml:space="preserve">	LP Reward Model · Math Brief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2A4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F2A4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B85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XDC LST — LP Reward Mathematical Model (v2)</dc:title>
  <dc:creator>Protofire</dc:creator>
  <dc:description>Tier-rate × pro-rata mechanic for LP yield distribution</dc:description>
  <cp:lastModifiedBy>Un-named</cp:lastModifiedBy>
  <cp:revision>1</cp:revision>
  <dcterms:created xsi:type="dcterms:W3CDTF">2026-05-08T19:04:54.904Z</dcterms:created>
  <dcterms:modified xsi:type="dcterms:W3CDTF">2026-05-08T19:04:54.911Z</dcterms:modified>
</cp:coreProperties>
</file>

<file path=docProps/custom.xml><?xml version="1.0" encoding="utf-8"?>
<Properties xmlns="http://schemas.openxmlformats.org/officeDocument/2006/custom-properties" xmlns:vt="http://schemas.openxmlformats.org/officeDocument/2006/docPropsVTypes"/>
</file>