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Guion de Exposición tipo Storytelling</w:t>
      </w:r>
    </w:p>
    <w:p>
      <w:pPr>
        <w:pStyle w:val="Subtitle"/>
        <w:jc w:val="center"/>
      </w:pPr>
      <w:r>
        <w:t>Proyecto: Transformación y Optimización de la Cadena Productiva del restaurante Mis Costillitas</w:t>
        <w:br/>
      </w:r>
      <w:r>
        <w:rPr>
          <w:i/>
        </w:rPr>
        <w:t>Versión para exposición grupal de 6 integrantes – objetivo: nota máxima</w:t>
      </w:r>
    </w:p>
    <w:p/>
    <w:tbl>
      <w:tblPr>
        <w:tblW w:type="auto" w:w="0"/>
        <w:jc w:val="center"/>
        <w:tblLayout w:type="fixed"/>
        <w:tblLook w:firstColumn="1" w:firstRow="1" w:lastColumn="0" w:lastRow="0" w:noHBand="0" w:noVBand="1" w:val="04A0"/>
      </w:tblPr>
      <w:tblGrid>
        <w:gridCol w:w="8787"/>
      </w:tblGrid>
      <w:tr>
        <w:tc>
          <w:tcPr>
            <w:tcW w:type="dxa" w:w="9518"/>
            <w:shd w:fill="EAF2F8"/>
            <w:tcMar>
              <w:top w:w="120" w:type="dxa"/>
              <w:start w:w="140" w:type="dxa"/>
              <w:bottom w:w="120" w:type="dxa"/>
              <w:end w:w="140" w:type="dxa"/>
            </w:tcMar>
            <w:vAlign w:val="center"/>
          </w:tcPr>
          <w:p>
            <w:r>
              <w:rPr>
                <w:b/>
              </w:rPr>
              <w:t xml:space="preserve">Idea fuerza: </w:t>
            </w:r>
            <w:r>
              <w:t xml:space="preserve">Mis Costillitas no tenía un problema de ventas; tenía una fuga silenciosa de valor dentro de su propia cadena productiva. </w:t>
            </w:r>
            <w:r>
              <w:t>La exposición debe demostrar cómo el diagnóstico, la solución integral y el impacto proyectado convierten una operación reactiva en una organización conectada, rentable y sostenible.</w:t>
            </w:r>
          </w:p>
        </w:tc>
      </w:tr>
    </w:tbl>
    <w:p/>
    <w:p>
      <w:pPr>
        <w:pStyle w:val="Heading1"/>
      </w:pPr>
      <w:r>
        <w:t>1. Apertura recomendada</w:t>
      </w:r>
    </w:p>
    <w:p>
      <w:r>
        <w:rPr>
          <w:b/>
        </w:rPr>
        <w:t xml:space="preserve">Frase gancho inicial: </w:t>
      </w:r>
      <w:r>
        <w:t>“Mis Costillitas no tenía un problema de ventas. Tenía un problema mucho más silencioso: estaba perdiendo rentabilidad dentro de su propia cadena productiva.”</w:t>
      </w:r>
    </w:p>
    <w:p>
      <w:r>
        <w:rPr>
          <w:b/>
        </w:rPr>
        <w:t xml:space="preserve">Objetivo del relato: </w:t>
      </w:r>
      <w:r>
        <w:t>mostrar una historia con tensión, evidencia, solución e impacto; no una lectura lineal de diapositivas.</w:t>
      </w:r>
    </w:p>
    <w:p>
      <w:pPr>
        <w:pStyle w:val="Heading1"/>
      </w:pPr>
      <w:r>
        <w:t>2. Reparto de la exposición</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D9EAF7"/>
            <w:tcMar>
              <w:top w:w="80" w:type="dxa"/>
              <w:start w:w="100" w:type="dxa"/>
              <w:bottom w:w="80" w:type="dxa"/>
              <w:end w:w="100" w:type="dxa"/>
            </w:tcMar>
            <w:vAlign w:val="center"/>
          </w:tcPr>
          <w:p>
            <w:r>
              <w:t>Integrante</w:t>
            </w:r>
          </w:p>
        </w:tc>
        <w:tc>
          <w:tcPr>
            <w:tcW w:type="dxa" w:w="3173"/>
            <w:shd w:fill="D9EAF7"/>
            <w:tcMar>
              <w:top w:w="80" w:type="dxa"/>
              <w:start w:w="100" w:type="dxa"/>
              <w:bottom w:w="80" w:type="dxa"/>
              <w:end w:w="100" w:type="dxa"/>
            </w:tcMar>
            <w:vAlign w:val="center"/>
          </w:tcPr>
          <w:p>
            <w:r>
              <w:t>Rol narrativo</w:t>
            </w:r>
          </w:p>
        </w:tc>
        <w:tc>
          <w:tcPr>
            <w:tcW w:type="dxa" w:w="3173"/>
            <w:shd w:fill="D9EAF7"/>
            <w:tcMar>
              <w:top w:w="80" w:type="dxa"/>
              <w:start w:w="100" w:type="dxa"/>
              <w:bottom w:w="80" w:type="dxa"/>
              <w:end w:w="100" w:type="dxa"/>
            </w:tcMar>
            <w:vAlign w:val="center"/>
          </w:tcPr>
          <w:p>
            <w:r>
              <w:t>Diapositivas</w:t>
            </w:r>
          </w:p>
        </w:tc>
      </w:tr>
      <w:tr>
        <w:tc>
          <w:tcPr>
            <w:tcW w:type="dxa" w:w="3173"/>
            <w:tcMar>
              <w:top w:w="80" w:type="dxa"/>
              <w:start w:w="100" w:type="dxa"/>
              <w:bottom w:w="80" w:type="dxa"/>
              <w:end w:w="100" w:type="dxa"/>
            </w:tcMar>
            <w:vAlign w:val="center"/>
          </w:tcPr>
          <w:p>
            <w:r>
              <w:t>Integrante 1</w:t>
            </w:r>
          </w:p>
        </w:tc>
        <w:tc>
          <w:tcPr>
            <w:tcW w:type="dxa" w:w="3173"/>
            <w:tcMar>
              <w:top w:w="80" w:type="dxa"/>
              <w:start w:w="100" w:type="dxa"/>
              <w:bottom w:w="80" w:type="dxa"/>
              <w:end w:w="100" w:type="dxa"/>
            </w:tcMar>
            <w:vAlign w:val="center"/>
          </w:tcPr>
          <w:p>
            <w:r>
              <w:t>Apertura y problema central</w:t>
            </w:r>
          </w:p>
        </w:tc>
        <w:tc>
          <w:tcPr>
            <w:tcW w:type="dxa" w:w="3173"/>
            <w:tcMar>
              <w:top w:w="80" w:type="dxa"/>
              <w:start w:w="100" w:type="dxa"/>
              <w:bottom w:w="80" w:type="dxa"/>
              <w:end w:w="100" w:type="dxa"/>
            </w:tcMar>
            <w:vAlign w:val="center"/>
          </w:tcPr>
          <w:p>
            <w:r>
              <w:t>1, 2 y 3</w:t>
            </w:r>
          </w:p>
        </w:tc>
      </w:tr>
      <w:tr>
        <w:tc>
          <w:tcPr>
            <w:tcW w:type="dxa" w:w="3173"/>
            <w:tcMar>
              <w:top w:w="80" w:type="dxa"/>
              <w:start w:w="100" w:type="dxa"/>
              <w:bottom w:w="80" w:type="dxa"/>
              <w:end w:w="100" w:type="dxa"/>
            </w:tcMar>
            <w:vAlign w:val="center"/>
          </w:tcPr>
          <w:p>
            <w:r>
              <w:t>Integrante 2</w:t>
            </w:r>
          </w:p>
        </w:tc>
        <w:tc>
          <w:tcPr>
            <w:tcW w:type="dxa" w:w="3173"/>
            <w:tcMar>
              <w:top w:w="80" w:type="dxa"/>
              <w:start w:w="100" w:type="dxa"/>
              <w:bottom w:w="80" w:type="dxa"/>
              <w:end w:w="100" w:type="dxa"/>
            </w:tcMar>
            <w:vAlign w:val="center"/>
          </w:tcPr>
          <w:p>
            <w:r>
              <w:t>Cadena actual y fuga de valor</w:t>
            </w:r>
          </w:p>
        </w:tc>
        <w:tc>
          <w:tcPr>
            <w:tcW w:type="dxa" w:w="3173"/>
            <w:tcMar>
              <w:top w:w="80" w:type="dxa"/>
              <w:start w:w="100" w:type="dxa"/>
              <w:bottom w:w="80" w:type="dxa"/>
              <w:end w:w="100" w:type="dxa"/>
            </w:tcMar>
            <w:vAlign w:val="center"/>
          </w:tcPr>
          <w:p>
            <w:r>
              <w:t>4 y 5</w:t>
            </w:r>
          </w:p>
        </w:tc>
      </w:tr>
      <w:tr>
        <w:tc>
          <w:tcPr>
            <w:tcW w:type="dxa" w:w="3173"/>
            <w:tcMar>
              <w:top w:w="80" w:type="dxa"/>
              <w:start w:w="100" w:type="dxa"/>
              <w:bottom w:w="80" w:type="dxa"/>
              <w:end w:w="100" w:type="dxa"/>
            </w:tcMar>
            <w:vAlign w:val="center"/>
          </w:tcPr>
          <w:p>
            <w:r>
              <w:t>Integrante 3</w:t>
            </w:r>
          </w:p>
        </w:tc>
        <w:tc>
          <w:tcPr>
            <w:tcW w:type="dxa" w:w="3173"/>
            <w:tcMar>
              <w:top w:w="80" w:type="dxa"/>
              <w:start w:w="100" w:type="dxa"/>
              <w:bottom w:w="80" w:type="dxa"/>
              <w:end w:w="100" w:type="dxa"/>
            </w:tcMar>
            <w:vAlign w:val="center"/>
          </w:tcPr>
          <w:p>
            <w:r>
              <w:t>Punto ciego de información y cuellos de botella</w:t>
            </w:r>
          </w:p>
        </w:tc>
        <w:tc>
          <w:tcPr>
            <w:tcW w:type="dxa" w:w="3173"/>
            <w:tcMar>
              <w:top w:w="80" w:type="dxa"/>
              <w:start w:w="100" w:type="dxa"/>
              <w:bottom w:w="80" w:type="dxa"/>
              <w:end w:w="100" w:type="dxa"/>
            </w:tcMar>
            <w:vAlign w:val="center"/>
          </w:tcPr>
          <w:p>
            <w:r>
              <w:t>6 y 7</w:t>
            </w:r>
          </w:p>
        </w:tc>
      </w:tr>
      <w:tr>
        <w:tc>
          <w:tcPr>
            <w:tcW w:type="dxa" w:w="3173"/>
            <w:tcMar>
              <w:top w:w="80" w:type="dxa"/>
              <w:start w:w="100" w:type="dxa"/>
              <w:bottom w:w="80" w:type="dxa"/>
              <w:end w:w="100" w:type="dxa"/>
            </w:tcMar>
            <w:vAlign w:val="center"/>
          </w:tcPr>
          <w:p>
            <w:r>
              <w:t>Integrante 4</w:t>
            </w:r>
          </w:p>
        </w:tc>
        <w:tc>
          <w:tcPr>
            <w:tcW w:type="dxa" w:w="3173"/>
            <w:tcMar>
              <w:top w:w="80" w:type="dxa"/>
              <w:start w:w="100" w:type="dxa"/>
              <w:bottom w:w="80" w:type="dxa"/>
              <w:end w:w="100" w:type="dxa"/>
            </w:tcMar>
            <w:vAlign w:val="center"/>
          </w:tcPr>
          <w:p>
            <w:r>
              <w:t>Costo de la no calidad</w:t>
            </w:r>
          </w:p>
        </w:tc>
        <w:tc>
          <w:tcPr>
            <w:tcW w:type="dxa" w:w="3173"/>
            <w:tcMar>
              <w:top w:w="80" w:type="dxa"/>
              <w:start w:w="100" w:type="dxa"/>
              <w:bottom w:w="80" w:type="dxa"/>
              <w:end w:w="100" w:type="dxa"/>
            </w:tcMar>
            <w:vAlign w:val="center"/>
          </w:tcPr>
          <w:p>
            <w:r>
              <w:t>8</w:t>
            </w:r>
          </w:p>
        </w:tc>
      </w:tr>
      <w:tr>
        <w:tc>
          <w:tcPr>
            <w:tcW w:type="dxa" w:w="3173"/>
            <w:tcMar>
              <w:top w:w="80" w:type="dxa"/>
              <w:start w:w="100" w:type="dxa"/>
              <w:bottom w:w="80" w:type="dxa"/>
              <w:end w:w="100" w:type="dxa"/>
            </w:tcMar>
            <w:vAlign w:val="center"/>
          </w:tcPr>
          <w:p>
            <w:r>
              <w:t>Integrante 5</w:t>
            </w:r>
          </w:p>
        </w:tc>
        <w:tc>
          <w:tcPr>
            <w:tcW w:type="dxa" w:w="3173"/>
            <w:tcMar>
              <w:top w:w="80" w:type="dxa"/>
              <w:start w:w="100" w:type="dxa"/>
              <w:bottom w:w="80" w:type="dxa"/>
              <w:end w:w="100" w:type="dxa"/>
            </w:tcMar>
            <w:vAlign w:val="center"/>
          </w:tcPr>
          <w:p>
            <w:r>
              <w:t>Solución integral y rediseño operativo</w:t>
            </w:r>
          </w:p>
        </w:tc>
        <w:tc>
          <w:tcPr>
            <w:tcW w:type="dxa" w:w="3173"/>
            <w:tcMar>
              <w:top w:w="80" w:type="dxa"/>
              <w:start w:w="100" w:type="dxa"/>
              <w:bottom w:w="80" w:type="dxa"/>
              <w:end w:w="100" w:type="dxa"/>
            </w:tcMar>
            <w:vAlign w:val="center"/>
          </w:tcPr>
          <w:p>
            <w:r>
              <w:t>9, 10, 11 y 12</w:t>
            </w:r>
          </w:p>
        </w:tc>
      </w:tr>
      <w:tr>
        <w:tc>
          <w:tcPr>
            <w:tcW w:type="dxa" w:w="3173"/>
            <w:tcMar>
              <w:top w:w="80" w:type="dxa"/>
              <w:start w:w="100" w:type="dxa"/>
              <w:bottom w:w="80" w:type="dxa"/>
              <w:end w:w="100" w:type="dxa"/>
            </w:tcMar>
            <w:vAlign w:val="center"/>
          </w:tcPr>
          <w:p>
            <w:r>
              <w:t>Integrante 6</w:t>
            </w:r>
          </w:p>
        </w:tc>
        <w:tc>
          <w:tcPr>
            <w:tcW w:type="dxa" w:w="3173"/>
            <w:tcMar>
              <w:top w:w="80" w:type="dxa"/>
              <w:start w:w="100" w:type="dxa"/>
              <w:bottom w:w="80" w:type="dxa"/>
              <w:end w:w="100" w:type="dxa"/>
            </w:tcMar>
            <w:vAlign w:val="center"/>
          </w:tcPr>
          <w:p>
            <w:r>
              <w:t>Roadmap, impacto económico y cierre final</w:t>
            </w:r>
          </w:p>
        </w:tc>
        <w:tc>
          <w:tcPr>
            <w:tcW w:type="dxa" w:w="3173"/>
            <w:tcMar>
              <w:top w:w="80" w:type="dxa"/>
              <w:start w:w="100" w:type="dxa"/>
              <w:bottom w:w="80" w:type="dxa"/>
              <w:end w:w="100" w:type="dxa"/>
            </w:tcMar>
            <w:vAlign w:val="center"/>
          </w:tcPr>
          <w:p>
            <w:r>
              <w:t>13, 14, 15 y 17</w:t>
            </w:r>
          </w:p>
        </w:tc>
      </w:tr>
    </w:tbl>
    <w:p/>
    <w:p>
      <w:pPr>
        <w:pStyle w:val="Heading1"/>
      </w:pPr>
      <w:r>
        <w:t>3. Guion del Integrante 1 — Apertura y problema central</w:t>
      </w:r>
    </w:p>
    <w:p>
      <w:r>
        <w:t>“Buenas noches, profesor y compañeros. Hoy no les vamos a presentar simplemente un restaurante. Les vamos a mostrar un caso muy representativo del sector gastronómico actual: una franquicia que vende, que tiene marca, que tiene presencia física y digital, pero que aun así pierde rentabilidad dentro de su propia operación.”</w:t>
      </w:r>
    </w:p>
    <w:p>
      <w:r>
        <w:t>“Analizamos el caso de Mis Costillitas, ubicado en Mall Aventura Arequipa, con venta presencial y delivery, y un protocolo de atención estructurado. En apariencia, el negocio funciona. Pero cuando observamos sus procesos con enfoque de cadena productiva, apareció el verdadero reto central: altas ventas frente a elevados costos de no calidad.”</w:t>
      </w:r>
    </w:p>
    <w:p>
      <w:r>
        <w:t>“Ese fue el punto de partida de nuestra investigación. No preguntamos solo cuánto vende el negocio. Preguntamos algo más importante: dónde se está fugando el valor que debería convertirse en rentabilidad.”</w:t>
      </w:r>
    </w:p>
    <w:p>
      <w:r>
        <w:rPr>
          <w:i/>
        </w:rPr>
        <w:t>Transición sugerida: “Para entender esa fuga, primero debíamos mirar la cadena completa. Por eso, a continuación, veremos cómo está estructurada la operación de Mis Costillitas desde el abastecimiento hasta el consumidor.”</w:t>
      </w:r>
    </w:p>
    <w:p>
      <w:pPr>
        <w:pStyle w:val="Heading1"/>
      </w:pPr>
      <w:r>
        <w:t>4. Guion del Integrante 2 — Cadena actual y fuga de valor</w:t>
      </w:r>
    </w:p>
    <w:p>
      <w:r>
        <w:t>“La operación actual se articula en seis eslabones: proveedores upstream, logística de entrada, producción, logística interna, distribución y consumidores. No estamos ante actividades aisladas, sino ante un sistema donde cada falla se transmite al siguiente eslabón.”</w:t>
      </w:r>
    </w:p>
    <w:p>
      <w:r>
        <w:t>“Aquí aparece un hallazgo clave: la ventaja competitiva del negocio reside precisamente en sus operaciones, pero también es allí donde ocurren las mayores fugas. La cadena tiene fortalezas visibles, como ubicación estratégica, franquicia reconocida, integración con Logbar y presencia en Rappi y PedidosYa. Sin embargo, detectamos dos alertas muy concretas: compras no optimizadas y control deficiente de mermas.”</w:t>
      </w:r>
    </w:p>
    <w:p>
      <w:r>
        <w:t>“En otras palabras, el negocio sí genera valor hacia el cliente, pero al mismo tiempo destruye parte de ese valor dentro de su propia operación. Y cuando eso ocurre de forma repetida, el margen se comprime, aunque la venta siga entrando.”</w:t>
      </w:r>
    </w:p>
    <w:p>
      <w:r>
        <w:rPr>
          <w:i/>
        </w:rPr>
        <w:t>Transición sugerida: “No bastaba con ver la cadena. También necesitábamos entender por qué, teniendo sistema e información, la gestión seguía siendo reactiva. Ese punto ciego fue decisivo en el diagnóstico.”</w:t>
      </w:r>
    </w:p>
    <w:p>
      <w:pPr>
        <w:pStyle w:val="Heading1"/>
      </w:pPr>
      <w:r>
        <w:t>5. Guion del Integrante 3 — Punto ciego de información y cuellos de botella</w:t>
      </w:r>
    </w:p>
    <w:p>
      <w:r>
        <w:t>“Uno de los hallazgos más importantes fue la dualidad crítica del sistema: los materiales fluyen constantemente, pero la información se estanca. Logbar existe, pero opera más como un registro pasivo que como un motor de decisiones. No integra alertas en tiempo real sobre mermas, tiempos del protocolo ni compras.”</w:t>
      </w:r>
    </w:p>
    <w:p>
      <w:r>
        <w:t>“Esa ceguera de datos explica por qué la gestión se volvió empírica. A partir de ello identificamos cuatro cuellos de botella sistémicos que reducen la rentabilidad y bloquean la escalabilidad.”</w:t>
      </w:r>
    </w:p>
    <w:p>
      <w:r>
        <w:t>“El primero son las mermas de transformación por falta de estandarización en cortes. El segundo es la variabilidad en el servicio en horas pico. El tercero es la dependencia de compras minoristas diarias en retail, con sobrecostos. Y el cuarto es la ceguera de datos operativos, que impide anticipar, corregir y decidir.”</w:t>
      </w:r>
    </w:p>
    <w:p>
      <w:r>
        <w:t>“Lo importante aquí es entender que no eran fallas aisladas. Eran síntomas de un mismo problema: una operación que reaccionaba tarde porque no estaba conectada ni estandarizada.”</w:t>
      </w:r>
    </w:p>
    <w:p>
      <w:r>
        <w:rPr>
          <w:i/>
        </w:rPr>
        <w:t>Transición sugerida: “Y cuando estas fallas se llevan a números, dejan de ser solo operativas. Se convierten en dinero perdido. Veamos cuánto le cuesta realmente la no calidad a Mis Costillitas.”</w:t>
      </w:r>
    </w:p>
    <w:p>
      <w:pPr>
        <w:pStyle w:val="Heading1"/>
      </w:pPr>
      <w:r>
        <w:t>6. Guion del Integrante 4 — El costo de la no calidad</w:t>
      </w:r>
    </w:p>
    <w:p>
      <w:r>
        <w:t>“En esta parte se concentra la tensión económica del caso. Las ineficiencias operativas generan pérdidas mensuales directas en insumos clave. Y eso no es una proyección abstracta; proviene de la brecha real entre la merma actual y la meta técnica esperada.”</w:t>
      </w:r>
    </w:p>
    <w:p>
      <w:r>
        <w:t>“Además, la variabilidad en el servicio afecta directamente dos variables decisivas para cualquier restaurante: la satisfacción del cliente y la rotación de mesas.”</w:t>
      </w:r>
    </w:p>
    <w:p>
      <w:r>
        <w:t>“Entonces, el problema ya no puede leerse como un simple desorden operativo. Debe leerse como costo de no calidad. Cada corte mal estandarizado, cada compra empírica y cada minuto de demora está erosionando margen, experiencia y capacidad de crecer.”</w:t>
      </w:r>
    </w:p>
    <w:p>
      <w:r>
        <w:rPr>
          <w:i/>
        </w:rPr>
        <w:t>Transición sugerida: “Frente a eso, nuestra propuesta no fue un ajuste aislado. Diseñamos una arquitectura integral de solución que ataca el problema desde cinco pilares complementarios.”</w:t>
      </w:r>
    </w:p>
    <w:p>
      <w:pPr>
        <w:pStyle w:val="Heading1"/>
      </w:pPr>
      <w:r>
        <w:t>7. Guion del Integrante 5 — Solución integral y rediseño operativo</w:t>
      </w:r>
    </w:p>
    <w:p>
      <w:r>
        <w:t>“Nuestra propuesta parte de una idea central: Mis Costillitas no necesita vender más para mejorar; necesita operar mejor. Por eso diseñamos una arquitectura de solución basada en cinco pilares metodológicos: Lean Manufacturing, Six Sigma, IoT y Dashboard, Supply Chain y Sostenibilidad.”</w:t>
      </w:r>
    </w:p>
    <w:p>
      <w:r>
        <w:t>“Con Lean Manufacturing planteamos fichas técnicas para erradicar mermas y estandarizar el despiece. Con Six Sigma propusimos control estadístico de tiempos para reducir la variabilidad del servicio. Con IoT y dashboard buscamos integrar sensores y KPIs a Logbar para obtener visibilidad en tiempo real. Con Supply Chain rediseñamos el abastecimiento con compras consolidadas y homologación de proveedores. Y con sostenibilidad introdujimos eficiencia energética, reducción de residuos orgánicos y empaques biodegradables.”</w:t>
      </w:r>
    </w:p>
    <w:p>
      <w:r>
        <w:t>“En la práctica, esto se traduce en una operación más controlada desde la recepción de insumos hasta el feedback del cliente. La meta es reducir drásticamente las mermas, asegurar un tiempo de servicio menor o igual a 15 minutos, garantizar cadena de frío y medir satisfacción con metas exigentes pero alcanzables.”</w:t>
      </w:r>
    </w:p>
    <w:p>
      <w:r>
        <w:t>“Además, la reingeniería de compras cambia un esquema reactivo de compras minoristas diarias con sobrecosto por un abastecimiento consolidado con stock de seguridad y mejor costo unitario.”</w:t>
      </w:r>
    </w:p>
    <w:p>
      <w:r>
        <w:rPr>
          <w:i/>
        </w:rPr>
        <w:t>Transición sugerida: “Pero una propuesta solo convence de verdad cuando demuestra viabilidad. Por eso, el siguiente paso fue traducir esta solución a tiempos, fases y resultados económicos concretos.”</w:t>
      </w:r>
    </w:p>
    <w:p>
      <w:pPr>
        <w:pStyle w:val="Heading1"/>
      </w:pPr>
      <w:r>
        <w:t>8. Guion del Integrante 6 — Roadmap, impacto económico y cierre final</w:t>
      </w:r>
    </w:p>
    <w:p>
      <w:r>
        <w:t>“La implementación fue diseñada como un despliegue escalonado a 18 meses bajo el ciclo PHVA. En la primera fase se incorporan fichas técnicas, homologación de proveedores y diagnóstico base. En la segunda, se integran sensores, dashboard y pedidos semanales consolidados. En la tercera, el dashboard opera al 100%, se auditan tiempos con Six Sigma y se implementan acciones sostenibles. En la cuarta, se monitorean KPIs, se ajusta el modelo y se prepara la escalabilidad de la franquicia.”</w:t>
      </w:r>
    </w:p>
    <w:p>
      <w:r>
        <w:t>“¿Qué significa esto en términos económicos? Que la calidad deja de verse como costo y pasa a verse como inversión. La inversión inicial se compensa con ahorro mensual proyectado, recuperación rápida y un retorno acumulado claramente superior al costo de implementación.”</w:t>
      </w:r>
    </w:p>
    <w:p>
      <w:r>
        <w:t>“Y lo más importante es que el impacto no es solo financiero. El nuevo estándar operativo proyecta mejoras concretas en mermas, tiempo de servicio, satisfacción del cliente y reducción de residuos.”</w:t>
      </w:r>
    </w:p>
    <w:p>
      <w:r>
        <w:t>“Por eso, nuestra recomendación estratégica final es clara: la calidad no es un destino, sino un proceso continuo. En este caso, transitar hacia una organización conectada no solo mejora una operación; garantiza la supervivencia, la escalabilidad y la rentabilidad de Mis Costillitas en un entorno gastronómico cada vez más competitivo.”</w:t>
      </w:r>
    </w:p>
    <w:p>
      <w:r>
        <w:t>“Muchas gracias.”</w:t>
      </w:r>
    </w:p>
    <w:p>
      <w:pPr>
        <w:pStyle w:val="Heading1"/>
      </w:pPr>
      <w:r>
        <w:t>9. Frases de transición que elevan la exposición</w:t>
      </w:r>
    </w:p>
    <w:p>
      <w:pPr>
        <w:ind w:left="283"/>
      </w:pPr>
      <w:r>
        <w:t>• Lo que parecía una operación estable, en realidad escondía pérdidas estructurales.</w:t>
      </w:r>
    </w:p>
    <w:p>
      <w:pPr>
        <w:ind w:left="283"/>
      </w:pPr>
      <w:r>
        <w:t>• El problema no era la demanda; era la forma en que la operación respondía a esa demanda.</w:t>
      </w:r>
    </w:p>
    <w:p>
      <w:pPr>
        <w:ind w:left="283"/>
      </w:pPr>
      <w:r>
        <w:t>• Cuando la información no decide, la operación improvisa.</w:t>
      </w:r>
    </w:p>
    <w:p>
      <w:pPr>
        <w:ind w:left="283"/>
      </w:pPr>
      <w:r>
        <w:t>• Cada minuto extra y cada punto de merma no son solo fallas operativas; son margen que desaparece.</w:t>
      </w:r>
    </w:p>
    <w:p>
      <w:pPr>
        <w:ind w:left="283"/>
      </w:pPr>
      <w:r>
        <w:t>• Nuestra propuesta no agrega complejidad: agrega control.</w:t>
      </w:r>
    </w:p>
    <w:p>
      <w:pPr>
        <w:ind w:left="283"/>
      </w:pPr>
      <w:r>
        <w:t>• El verdadero salto competitivo no está en vender más, sino en capturar mejor el valor que ya se genera.</w:t>
      </w:r>
    </w:p>
    <w:p>
      <w:pPr>
        <w:pStyle w:val="Heading1"/>
      </w:pPr>
      <w:r>
        <w:t>10. Recomendaciones para sonar sólidos y naturales</w:t>
      </w:r>
    </w:p>
    <w:p>
      <w:r>
        <w:rPr>
          <w:b/>
        </w:rPr>
        <w:t xml:space="preserve">• </w:t>
      </w:r>
      <w:r>
        <w:t>No leer textual. El guion debe servir como base de ensayo, no como libreto rígido.</w:t>
      </w:r>
    </w:p>
    <w:p>
      <w:r>
        <w:rPr>
          <w:b/>
        </w:rPr>
        <w:t xml:space="preserve">• </w:t>
      </w:r>
      <w:r>
        <w:t>Evitar frases repetitivas como “como se ve en la diapositiva”. Reemplazarlas por “aquí observamos”, “este dato revela” o “lo crítico de este punto es…”.</w:t>
      </w:r>
    </w:p>
    <w:p>
      <w:r>
        <w:rPr>
          <w:b/>
        </w:rPr>
        <w:t xml:space="preserve">• </w:t>
      </w:r>
      <w:r>
        <w:t>Mantener una sola historia compartida por todo el grupo: diagnóstico → fuga de valor → solución conectada → retorno.</w:t>
      </w:r>
    </w:p>
    <w:p>
      <w:r>
        <w:rPr>
          <w:b/>
        </w:rPr>
        <w:t xml:space="preserve">• </w:t>
      </w:r>
      <w:r>
        <w:t>Defender con seguridad los números más sensibles: pérdidas mensuales, ahorro proyectado, recuperación de inversión y ROI.</w:t>
      </w:r>
    </w:p>
    <w:p>
      <w:pPr>
        <w:pStyle w:val="Heading1"/>
      </w:pPr>
      <w:r>
        <w:t>11. Cierre alternativo de alto impacto</w:t>
      </w:r>
    </w:p>
    <w:p>
      <w:r>
        <w:t>“En conclusión, nuestro trabajo demuestra que la competitividad sostenible en gastronomía no depende solo del producto o de la marca. Depende de cuánto control tiene la empresa sobre su propia cadena. Y en el caso de Mis Costillitas, optimizar la cadena productiva no es una mejora opcional: es la condición para crecer con rentabilidad.”</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D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2D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D7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