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lang w:val="es-CO"/>
        </w:rPr>
      </w:pPr>
      <w:r>
        <w:t xml:space="preserve">Santiago de Cali, </w:t>
      </w:r>
      <w:r>
        <w:rPr>
          <w:rFonts w:hint="default"/>
          <w:lang w:val="es-CO"/>
        </w:rPr>
        <w:t>{diaActual}</w:t>
      </w:r>
      <w:r>
        <w:t xml:space="preserve"> de </w:t>
      </w:r>
      <w:r>
        <w:rPr>
          <w:rFonts w:hint="default"/>
          <w:lang w:val="es-CO"/>
        </w:rPr>
        <w:t>{mesActual}</w:t>
      </w:r>
      <w:r>
        <w:t xml:space="preserve"> del </w:t>
      </w:r>
      <w:r>
        <w:rPr>
          <w:rFonts w:hint="default"/>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0B158FA9">
      <w:pPr>
        <w:pStyle w:val="10"/>
        <w:spacing w:before="82"/>
      </w:pPr>
      <w:bookmarkStart w:id="1" w:name="_GoBack"/>
      <w:bookmarkEnd w:id="1"/>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51C3AE04">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b/>
          <w:bCs/>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5406BB58">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69D8D4A7">
      <w:pPr>
        <w:pStyle w:val="10"/>
        <w:bidi w:val="0"/>
        <w:rPr>
          <w:rStyle w:val="3"/>
          <w:rFonts w:hint="default"/>
          <w:lang w:val="es-CO"/>
        </w:rPr>
      </w:pPr>
      <w:r>
        <w:rPr>
          <w:rStyle w:val="3"/>
          <w:rFonts w:hint="default"/>
          <w:lang w:val="es-CO"/>
        </w:rPr>
        <w:t>{#hechos}</w:t>
      </w:r>
    </w:p>
    <w:p w14:paraId="1BA5A255">
      <w:pPr>
        <w:pStyle w:val="10"/>
        <w:bidi w:val="0"/>
        <w:rPr>
          <w:rStyle w:val="3"/>
          <w:rFonts w:hint="default"/>
          <w:lang w:val="es-CO"/>
        </w:rPr>
      </w:pPr>
      <w:r>
        <w:rPr>
          <w:rStyle w:val="3"/>
          <w:rFonts w:hint="default"/>
          <w:lang w:val="es-CO"/>
        </w:rPr>
        <w:t>{descripcionHecho}</w:t>
      </w:r>
    </w:p>
    <w:p w14:paraId="2583A817">
      <w:pPr>
        <w:pStyle w:val="10"/>
        <w:bidi w:val="0"/>
        <w:rPr>
          <w:rStyle w:val="3"/>
          <w:rFonts w:hint="default"/>
          <w:lang w:val="es-CO"/>
        </w:rPr>
      </w:pPr>
      <w:r>
        <w:rPr>
          <w:rStyle w:val="3"/>
          <w:rFonts w:hint="default"/>
          <w:lang w:val="es-CO"/>
        </w:rPr>
        <w:t>{%fotoHecho}</w:t>
      </w:r>
    </w:p>
    <w:p w14:paraId="30D113CC">
      <w:pPr>
        <w:pStyle w:val="10"/>
        <w:bidi w:val="0"/>
        <w:rPr>
          <w:rStyle w:val="3"/>
          <w:rFonts w:hint="default"/>
          <w:lang w:val="es-CO"/>
        </w:rPr>
      </w:pPr>
      <w:r>
        <w:rPr>
          <w:rStyle w:val="3"/>
          <w:rFonts w:hint="default"/>
          <w:lang w:val="es-CO"/>
        </w:rPr>
        <w:t>{/hechos}</w:t>
      </w:r>
    </w:p>
    <w:p w14:paraId="5652C5E5">
      <w:pPr>
        <w:pStyle w:val="10"/>
        <w:bidi w:val="0"/>
        <w:rPr>
          <w:rStyle w:val="3"/>
          <w:rFonts w:hint="default"/>
          <w:lang w:val="es-CO"/>
        </w:rPr>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rPr>
          <w:spacing w:val="-2"/>
        </w:rPr>
      </w:pPr>
      <w:r>
        <w:rPr>
          <w:spacing w:val="-2"/>
        </w:rPr>
        <w:t>SOLICITUD</w:t>
      </w:r>
    </w:p>
    <w:p w14:paraId="43BC195C">
      <w:pPr>
        <w:pStyle w:val="2"/>
        <w:spacing w:before="233"/>
        <w:ind w:left="3"/>
      </w:pPr>
    </w:p>
    <w:p w14:paraId="1BB62F4D">
      <w:pPr>
        <w:jc w:val="both"/>
        <w:rPr>
          <w:rFonts w:cs="Arial"/>
        </w:rPr>
      </w:pPr>
      <w:r>
        <w:rPr>
          <w:rFonts w:cs="Arial"/>
        </w:rPr>
        <w:t xml:space="preserve">De manera respetuosa solicitamos que </w:t>
      </w:r>
      <w:r>
        <w:rPr>
          <w:rFonts w:hint="default" w:cs="Arial"/>
          <w:b/>
          <w:bCs/>
          <w:lang w:val="es-CO"/>
        </w:rPr>
        <w:t xml:space="preserve">{nombreEmpresa} </w:t>
      </w:r>
      <w:r>
        <w:rPr>
          <w:rFonts w:cs="Arial"/>
        </w:rPr>
        <w:t xml:space="preserve">cancele a favor de </w:t>
      </w:r>
      <w:r>
        <w:rPr>
          <w:rFonts w:hint="default" w:cs="Arial"/>
          <w:b/>
          <w:bCs/>
          <w:color w:val="000000"/>
          <w:lang w:val="es-CO"/>
        </w:rPr>
        <w:t>{propietarioPrimerVehiculo}</w:t>
      </w:r>
      <w:r>
        <w:rPr>
          <w:rFonts w:cs="Arial"/>
        </w:rPr>
        <w:t xml:space="preserve">  la suma de </w:t>
      </w:r>
      <w:r>
        <w:rPr>
          <w:rFonts w:cs="Arial"/>
          <w:b/>
          <w:bCs/>
          <w:lang w:val="es-CO"/>
        </w:rPr>
        <w:t xml:space="preserve">$ </w:t>
      </w:r>
      <w:r>
        <w:rPr>
          <w:rFonts w:hint="default" w:cs="Arial"/>
          <w:b/>
          <w:bCs/>
          <w:lang w:val="es-CO"/>
        </w:rPr>
        <w:t>{deducible}</w:t>
      </w:r>
      <w:r>
        <w:rPr>
          <w:rFonts w:cs="Arial"/>
          <w:b/>
          <w:bCs/>
        </w:rPr>
        <w:t xml:space="preserve"> M/CTE </w:t>
      </w:r>
      <w:r>
        <w:rPr>
          <w:rFonts w:cs="Arial"/>
        </w:rPr>
        <w:t xml:space="preserve">por concepto de </w:t>
      </w:r>
      <w:r>
        <w:rPr>
          <w:rFonts w:cs="Arial"/>
          <w:b/>
          <w:bCs/>
        </w:rPr>
        <w:t>DEDUCIBLE</w:t>
      </w:r>
      <w:r>
        <w:rPr>
          <w:rFonts w:cs="Arial"/>
        </w:rPr>
        <w:t xml:space="preserve"> y cancele a favor de Seguros Generales Suramericana S.A. la suma de </w:t>
      </w:r>
      <w:r>
        <w:rPr>
          <w:b/>
          <w:bCs/>
        </w:rPr>
        <w:t xml:space="preserve">$ </w:t>
      </w:r>
      <w:r>
        <w:rPr>
          <w:rFonts w:hint="default"/>
          <w:b/>
          <w:bCs/>
          <w:lang w:val="es-CO"/>
        </w:rPr>
        <w:t>{cuantia}</w:t>
      </w:r>
      <w:r>
        <w:t xml:space="preserve"> </w:t>
      </w:r>
      <w:r>
        <w:rPr>
          <w:rFonts w:cs="Arial"/>
        </w:rPr>
        <w:t>en virtud de la subrogación consignada en el artículo 1096 del Código de Comercio.</w:t>
      </w: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b/>
          <w:bCs/>
          <w:lang w:val="es-CO"/>
        </w:rPr>
        <w:t>{numeroPolizaSura}</w:t>
      </w:r>
      <w:r>
        <w:t>.</w:t>
      </w:r>
    </w:p>
    <w:p w14:paraId="6D9757DA">
      <w:pPr>
        <w:pStyle w:val="18"/>
        <w:ind w:left="708"/>
        <w:jc w:val="both"/>
      </w:pPr>
      <w:r>
        <w:rPr>
          <w:b/>
          <w:bCs/>
        </w:rPr>
        <w:t>b.</w:t>
      </w:r>
      <w:r>
        <w:t xml:space="preserve"> Se produjo un siniestro traducido en HURTO PARCIAL del vehículo de placas </w:t>
      </w:r>
      <w:r>
        <w:rPr>
          <w:rFonts w:hint="default"/>
          <w:b/>
          <w:bCs/>
          <w:lang w:val="es-CO"/>
        </w:rPr>
        <w:t xml:space="preserve">{placasPrimerVehiculo} </w:t>
      </w:r>
      <w:r>
        <w:t xml:space="preserve">en el cual ha sido atribuida la responsabilidad al parqueadero de </w:t>
      </w:r>
      <w:r>
        <w:rPr>
          <w:rFonts w:hint="default"/>
          <w:lang w:val="es-CO"/>
        </w:rPr>
        <w:t xml:space="preserve">{nombreEmprsa}  </w:t>
      </w:r>
      <w:r>
        <w:t xml:space="preserve">dirección </w:t>
      </w:r>
      <w:r>
        <w:rPr>
          <w:rFonts w:hint="default"/>
          <w:lang w:val="es-CO"/>
        </w:rPr>
        <w:t xml:space="preserve">{direccionEmpresa} </w:t>
      </w:r>
      <w:r>
        <w:t xml:space="preserve">de la ciudad de </w:t>
      </w:r>
      <w:r>
        <w:rPr>
          <w:rFonts w:hint="default"/>
          <w:lang w:val="es-CO"/>
        </w:rPr>
        <w:t>{ciudadEmpresa}</w:t>
      </w:r>
      <w:r>
        <w:t>.</w:t>
      </w:r>
    </w:p>
    <w:p w14:paraId="01386ED8">
      <w:pPr>
        <w:pStyle w:val="18"/>
        <w:ind w:left="708"/>
        <w:jc w:val="both"/>
      </w:pPr>
      <w:r>
        <w:rPr>
          <w:b/>
          <w:bCs/>
        </w:rPr>
        <w:t>c.</w:t>
      </w:r>
      <w:r>
        <w:t xml:space="preserve"> Seguros Generales Sura S.A. canceló el valor de la reparación del vehículo de placas </w:t>
      </w:r>
      <w:r>
        <w:rPr>
          <w:rFonts w:hint="default"/>
          <w:b/>
          <w:bCs/>
          <w:lang w:val="es-CO"/>
        </w:rPr>
        <w:t>{placasPrimerVehiculo}</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La Responsabilidad de los parqueaderos</w:t>
      </w:r>
    </w:p>
    <w:p w14:paraId="3D59EE5B">
      <w:pPr>
        <w:pStyle w:val="10"/>
        <w:spacing w:before="233"/>
        <w:jc w:val="both"/>
        <w:rPr>
          <w:lang w:val="es-CO"/>
        </w:rPr>
      </w:pPr>
      <w:r>
        <w:rPr>
          <w:lang w:val="es-CO"/>
        </w:rPr>
        <w:t>El Artículo 2236 del Código Civil indica que: llámase en general depósito el contrato en que se confía una cosa corporal a una persona que se encarga de guardarla y de restituir en especie, tal como sucede en el servicio de parqueadero.</w:t>
      </w:r>
    </w:p>
    <w:p w14:paraId="569AAED7">
      <w:pPr>
        <w:pStyle w:val="10"/>
        <w:spacing w:before="233"/>
        <w:jc w:val="both"/>
        <w:rPr>
          <w:lang w:val="es-CO"/>
        </w:rPr>
      </w:pPr>
      <w:r>
        <w:rPr>
          <w:lang w:val="es-CO"/>
        </w:rPr>
        <w:t>A su vez el artículo 18 Ley 1480 de 2011 indica que cuando se exija la entrega de un bien respecto del cual se desarrollará una prestación de servicios, estará sometido a las siguientes reglas:</w:t>
      </w:r>
    </w:p>
    <w:p w14:paraId="667CB20C">
      <w:pPr>
        <w:pStyle w:val="10"/>
        <w:spacing w:before="233"/>
        <w:jc w:val="both"/>
        <w:rPr>
          <w:i/>
          <w:iCs/>
          <w:lang w:val="es-CO"/>
        </w:rPr>
      </w:pPr>
      <w:r>
        <w:rPr>
          <w:i/>
          <w:iCs/>
          <w:lang w:val="es-CO"/>
        </w:rPr>
        <w:t>“…</w:t>
      </w:r>
    </w:p>
    <w:p w14:paraId="3E932320">
      <w:pPr>
        <w:pStyle w:val="10"/>
        <w:spacing w:before="233"/>
        <w:jc w:val="both"/>
        <w:rPr>
          <w:i/>
          <w:iCs/>
          <w:lang w:val="es-CO"/>
        </w:rPr>
      </w:pPr>
      <w:r>
        <w:rPr>
          <w:i/>
          <w:iCs/>
          <w:lang w:val="es-CO"/>
        </w:rPr>
        <w:t>Quien preste el servicio asume la custodia y conservación adecuada del bien y, por lo tanto, de la integridad de los elementos que lo componen, así como la de sus equipos anexos o complementarios, si los tuviere.…”</w:t>
      </w:r>
    </w:p>
    <w:p w14:paraId="2DB74ADB">
      <w:pPr>
        <w:pStyle w:val="10"/>
        <w:spacing w:before="233"/>
        <w:jc w:val="both"/>
        <w:rPr>
          <w:i/>
          <w:iCs/>
          <w:lang w:val="es-CO"/>
        </w:rPr>
      </w:pPr>
      <w:r>
        <w:rPr>
          <w:i/>
          <w:iCs/>
          <w:lang w:val="es-CO"/>
        </w:rPr>
        <w:t>Por su parte, La Corte Suprema de Justicia - Sala de Casación Civil en Sentencia SC (02- 09 1985) del 2 de septiembre de 1985 Magistrado ponente: doctor Humberto Murcia Ballén, indico:</w:t>
      </w:r>
    </w:p>
    <w:p w14:paraId="3C4EEF5F">
      <w:pPr>
        <w:pStyle w:val="10"/>
        <w:spacing w:before="233"/>
        <w:jc w:val="both"/>
        <w:rPr>
          <w:i/>
          <w:iCs/>
          <w:lang w:val="es-CO"/>
        </w:rPr>
      </w:pPr>
      <w:r>
        <w:rPr>
          <w:i/>
          <w:iCs/>
          <w:lang w:val="es-CO"/>
        </w:rPr>
        <w:t>“…</w:t>
      </w:r>
    </w:p>
    <w:p w14:paraId="6B828932">
      <w:pPr>
        <w:pStyle w:val="10"/>
        <w:spacing w:before="233"/>
        <w:jc w:val="both"/>
      </w:pPr>
      <w:r>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998E7A9">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 xml:space="preserve">del parqueadero </w:t>
      </w:r>
      <w:r>
        <w:rPr>
          <w:rFonts w:hint="default"/>
          <w:b/>
          <w:i/>
          <w:color w:val="000000"/>
          <w:spacing w:val="-2"/>
          <w:shd w:val="clear" w:color="auto" w:fill="D0CECE"/>
          <w:lang w:val="es-CO"/>
        </w:rPr>
        <w:t>{nombreEmpresa}</w:t>
      </w:r>
      <w:r>
        <w:rPr>
          <w:b/>
          <w:i/>
          <w:color w:val="000000"/>
          <w:shd w:val="clear" w:color="auto" w:fill="D0CECE"/>
        </w:rPr>
        <w:tab/>
      </w:r>
    </w:p>
    <w:p w14:paraId="2B00C2F3">
      <w:pPr>
        <w:pStyle w:val="10"/>
        <w:spacing w:before="5"/>
        <w:rPr>
          <w:b/>
          <w:i/>
        </w:rPr>
      </w:pPr>
    </w:p>
    <w:p w14:paraId="23556D81">
      <w:pPr>
        <w:jc w:val="both"/>
      </w:pPr>
      <w:r>
        <w:t xml:space="preserve">En este caso </w:t>
      </w:r>
      <w:r>
        <w:rPr>
          <w:rFonts w:hint="default"/>
          <w:lang w:val="es-CO"/>
        </w:rPr>
        <w:t xml:space="preserve">{nombreEmpresa} </w:t>
      </w:r>
      <w:r>
        <w:t xml:space="preserve">se encontraba con la custodia del vehículo placas </w:t>
      </w:r>
      <w:r>
        <w:rPr>
          <w:rFonts w:hint="default"/>
          <w:lang w:val="es-CO"/>
        </w:rPr>
        <w:t xml:space="preserve">{placasPrimerVehiculo} </w:t>
      </w:r>
      <w:r>
        <w:t>en el parqueadero del conjunto residencial ubicado en la</w:t>
      </w:r>
      <w:r>
        <w:rPr>
          <w:rFonts w:hint="default"/>
          <w:lang w:val="es-CO"/>
        </w:rPr>
        <w:t xml:space="preserve"> {direccionEmpresa}</w:t>
      </w:r>
      <w:r>
        <w:t xml:space="preserve"> en la ciudad de </w:t>
      </w:r>
      <w:r>
        <w:rPr>
          <w:rFonts w:hint="default"/>
          <w:lang w:val="es-CO"/>
        </w:rPr>
        <w:t>{ciudadEmpresa}</w:t>
      </w:r>
      <w:r>
        <w:t>. Por ello, y de acuerdo a la disposición normativa que recalca quienes prestan servicios que suponen la entrega del bien están obligados a devolver la cosa en el estado en el que les fue entregada o en su defecto repararla o sustituirlo:</w:t>
      </w:r>
    </w:p>
    <w:p w14:paraId="265212FD">
      <w:pPr>
        <w:jc w:val="both"/>
      </w:pPr>
    </w:p>
    <w:p w14:paraId="1F56AC22"/>
    <w:p w14:paraId="5B1645A7">
      <w:pPr>
        <w:rPr>
          <w:b/>
          <w:bCs/>
        </w:rPr>
      </w:pPr>
      <w:r>
        <w:rPr>
          <w:b/>
          <w:bCs/>
        </w:rPr>
        <w:t>Ley 1480 de 2011, Artículo 11. Aspectos incluidos en la garantía legal. Corresponden a la garantía legal las siguientes obligaciones: (…)</w:t>
      </w:r>
    </w:p>
    <w:p w14:paraId="007B0571">
      <w:pPr>
        <w:rPr>
          <w:b/>
          <w:bCs/>
        </w:rPr>
      </w:pPr>
    </w:p>
    <w:p w14:paraId="0A8C7780">
      <w:pPr>
        <w:ind w:left="708"/>
        <w:jc w:val="both"/>
        <w:rPr>
          <w:i/>
          <w:iCs/>
        </w:rPr>
      </w:pPr>
      <w:r>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49D12CDD">
      <w:pPr>
        <w:tabs>
          <w:tab w:val="left" w:pos="5025"/>
        </w:tabs>
        <w:jc w:val="both"/>
        <w:rPr>
          <w:i/>
          <w:iCs/>
        </w:rPr>
      </w:pPr>
      <w:r>
        <w:rPr>
          <w:i/>
          <w:iCs/>
        </w:rPr>
        <w:tab/>
      </w:r>
    </w:p>
    <w:p w14:paraId="16A25DBF">
      <w:pPr>
        <w:tabs>
          <w:tab w:val="left" w:pos="5025"/>
        </w:tabs>
        <w:jc w:val="both"/>
        <w:rPr>
          <w:i/>
          <w:iCs/>
        </w:rPr>
      </w:pPr>
    </w:p>
    <w:p w14:paraId="5743A29E">
      <w:pPr>
        <w:jc w:val="both"/>
      </w:pPr>
      <w:r>
        <w:t>En merito de lo expuesto y en atención a la documentación aportada que evidencia con diáfana claridad los hechos, solicitamos resolver favorablemente la solicitud previamente señalada.</w:t>
      </w:r>
    </w:p>
    <w:p w14:paraId="5B81887E">
      <w:pPr>
        <w:jc w:val="both"/>
      </w:pPr>
    </w:p>
    <w:p w14:paraId="2237B9C8">
      <w:pPr>
        <w:jc w:val="both"/>
      </w:pPr>
    </w:p>
    <w:p w14:paraId="4C01CED0">
      <w:pPr>
        <w:jc w:val="both"/>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0534A9DE">
      <w:pPr>
        <w:ind w:right="170"/>
        <w:jc w:val="center"/>
        <w:rPr>
          <w:b/>
          <w:spacing w:val="-2"/>
        </w:rPr>
      </w:pPr>
    </w:p>
    <w:p w14:paraId="5F205ACC">
      <w:pPr>
        <w:ind w:right="170"/>
        <w:jc w:val="center"/>
        <w:rPr>
          <w:b/>
          <w:spacing w:val="-2"/>
        </w:rPr>
      </w:pPr>
      <w:r>
        <w:rPr>
          <w:b/>
          <w:spacing w:val="-2"/>
        </w:rPr>
        <w:t>ANEXOS</w:t>
      </w:r>
    </w:p>
    <w:p w14:paraId="4558DAAD">
      <w:pPr>
        <w:ind w:right="170"/>
        <w:jc w:val="center"/>
        <w:rPr>
          <w:b/>
          <w:spacing w:val="-2"/>
        </w:rPr>
      </w:pPr>
    </w:p>
    <w:p w14:paraId="73B53134">
      <w:pPr>
        <w:pStyle w:val="10"/>
        <w:rPr>
          <w:rFonts w:hint="default"/>
          <w:b w:val="0"/>
          <w:bCs/>
          <w:lang w:val="es-CO"/>
        </w:rPr>
      </w:pPr>
      <w:r>
        <w:rPr>
          <w:rFonts w:hint="default"/>
          <w:b w:val="0"/>
          <w:bCs/>
          <w:lang w:val="es-CO"/>
        </w:rPr>
        <w:t>{contenidoAnexos}</w:t>
      </w:r>
    </w:p>
    <w:p w14:paraId="23BF08ED">
      <w:pPr>
        <w:pStyle w:val="10"/>
        <w:rPr>
          <w:b/>
        </w:rPr>
      </w:pPr>
    </w:p>
    <w:p w14:paraId="40CA00D0">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208DF7EB">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016CA95F">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7F786E77">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15E484C3">
      <w:pPr>
        <w:pStyle w:val="7"/>
        <w:rPr>
          <w:lang w:val="es-CO"/>
        </w:rPr>
      </w:pPr>
      <w:r>
        <w:rPr>
          <w:rStyle w:val="5"/>
        </w:rPr>
        <w:footnoteRef/>
      </w:r>
      <w:r>
        <w:t xml:space="preserve"> Código Comercial Colombiano (CCo) Decreto 410 de 1971. Artículo 1096. Marzo 27 de 1971 (Colombia).</w:t>
      </w:r>
    </w:p>
  </w:footnote>
  <w:footnote w:id="1">
    <w:p w14:paraId="6A2456EE">
      <w:pPr>
        <w:pStyle w:val="7"/>
        <w:rPr>
          <w:lang w:val="es-CO"/>
        </w:rPr>
      </w:pPr>
      <w:r>
        <w:rPr>
          <w:rStyle w:val="5"/>
        </w:rPr>
        <w:footnoteRef/>
      </w:r>
      <w:r>
        <w:t xml:space="preserve"> Corte Suprema de Justicia. Sala de Casación Civil. Sentencia SC 003-2015. (M. P. Jesús Vall de Rutén; 14 de enero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67807"/>
    <w:rsid w:val="000B09F4"/>
    <w:rsid w:val="000C67D7"/>
    <w:rsid w:val="000D13CF"/>
    <w:rsid w:val="000F584A"/>
    <w:rsid w:val="000F70BF"/>
    <w:rsid w:val="00103141"/>
    <w:rsid w:val="001228CA"/>
    <w:rsid w:val="001258D3"/>
    <w:rsid w:val="00127612"/>
    <w:rsid w:val="00130765"/>
    <w:rsid w:val="00161C71"/>
    <w:rsid w:val="0017643D"/>
    <w:rsid w:val="001F48C3"/>
    <w:rsid w:val="00221C41"/>
    <w:rsid w:val="00246FC1"/>
    <w:rsid w:val="00330698"/>
    <w:rsid w:val="00331130"/>
    <w:rsid w:val="00332B94"/>
    <w:rsid w:val="00335E59"/>
    <w:rsid w:val="00365146"/>
    <w:rsid w:val="00370647"/>
    <w:rsid w:val="003A14DC"/>
    <w:rsid w:val="003A7169"/>
    <w:rsid w:val="00400845"/>
    <w:rsid w:val="004309DE"/>
    <w:rsid w:val="004976DA"/>
    <w:rsid w:val="004B68EC"/>
    <w:rsid w:val="004C078E"/>
    <w:rsid w:val="004D04E2"/>
    <w:rsid w:val="004D73E2"/>
    <w:rsid w:val="004E1A83"/>
    <w:rsid w:val="004E3F85"/>
    <w:rsid w:val="00506435"/>
    <w:rsid w:val="005105E9"/>
    <w:rsid w:val="005135A2"/>
    <w:rsid w:val="00521C89"/>
    <w:rsid w:val="0053732F"/>
    <w:rsid w:val="00587642"/>
    <w:rsid w:val="005F30D8"/>
    <w:rsid w:val="005F69A5"/>
    <w:rsid w:val="00627C41"/>
    <w:rsid w:val="00634A44"/>
    <w:rsid w:val="006545E9"/>
    <w:rsid w:val="00670B72"/>
    <w:rsid w:val="00670C6A"/>
    <w:rsid w:val="00672654"/>
    <w:rsid w:val="0069041A"/>
    <w:rsid w:val="006B0520"/>
    <w:rsid w:val="006D07A0"/>
    <w:rsid w:val="00704665"/>
    <w:rsid w:val="00715937"/>
    <w:rsid w:val="00722054"/>
    <w:rsid w:val="00727978"/>
    <w:rsid w:val="00772ADD"/>
    <w:rsid w:val="0077471E"/>
    <w:rsid w:val="007C2104"/>
    <w:rsid w:val="007D52AD"/>
    <w:rsid w:val="00803CF7"/>
    <w:rsid w:val="00856BEA"/>
    <w:rsid w:val="008B25AB"/>
    <w:rsid w:val="008B53FC"/>
    <w:rsid w:val="00976762"/>
    <w:rsid w:val="009E4886"/>
    <w:rsid w:val="009E5453"/>
    <w:rsid w:val="009F5130"/>
    <w:rsid w:val="00A42CFE"/>
    <w:rsid w:val="00A73F3A"/>
    <w:rsid w:val="00A75BD3"/>
    <w:rsid w:val="00A86C84"/>
    <w:rsid w:val="00A97B2E"/>
    <w:rsid w:val="00AC34F4"/>
    <w:rsid w:val="00AE6DCA"/>
    <w:rsid w:val="00B36A96"/>
    <w:rsid w:val="00B50F7F"/>
    <w:rsid w:val="00B67449"/>
    <w:rsid w:val="00B94329"/>
    <w:rsid w:val="00BF778A"/>
    <w:rsid w:val="00C100A3"/>
    <w:rsid w:val="00D04337"/>
    <w:rsid w:val="00D25B60"/>
    <w:rsid w:val="00D36271"/>
    <w:rsid w:val="00D92C10"/>
    <w:rsid w:val="00D93E6E"/>
    <w:rsid w:val="00DC7BBA"/>
    <w:rsid w:val="00E1027D"/>
    <w:rsid w:val="00E363BD"/>
    <w:rsid w:val="00E460EB"/>
    <w:rsid w:val="00E634B0"/>
    <w:rsid w:val="00E72726"/>
    <w:rsid w:val="00E86010"/>
    <w:rsid w:val="00EA3350"/>
    <w:rsid w:val="00EC0778"/>
    <w:rsid w:val="00EC3E66"/>
    <w:rsid w:val="00ED1460"/>
    <w:rsid w:val="00EE2B17"/>
    <w:rsid w:val="00EE3508"/>
    <w:rsid w:val="00EE5222"/>
    <w:rsid w:val="00F25DD8"/>
    <w:rsid w:val="00FC5C84"/>
    <w:rsid w:val="07B4105A"/>
    <w:rsid w:val="1DEA2FDF"/>
    <w:rsid w:val="256E0815"/>
    <w:rsid w:val="26EE3BDD"/>
    <w:rsid w:val="3F7F1B9B"/>
    <w:rsid w:val="50A0508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footnote text"/>
    <w:basedOn w:val="1"/>
    <w:link w:val="20"/>
    <w:semiHidden/>
    <w:unhideWhenUsed/>
    <w:uiPriority w:val="99"/>
    <w:rPr>
      <w:sz w:val="20"/>
      <w:szCs w:val="20"/>
    </w:rPr>
  </w:style>
  <w:style w:type="paragraph" w:styleId="8">
    <w:name w:val="header"/>
    <w:basedOn w:val="1"/>
    <w:link w:val="11"/>
    <w:unhideWhenUsed/>
    <w:uiPriority w:val="99"/>
    <w:pPr>
      <w:tabs>
        <w:tab w:val="center" w:pos="4419"/>
        <w:tab w:val="right" w:pos="8838"/>
      </w:tabs>
    </w:pPr>
  </w:style>
  <w:style w:type="paragraph" w:styleId="9">
    <w:name w:val="footer"/>
    <w:basedOn w:val="1"/>
    <w:link w:val="12"/>
    <w:unhideWhenUsed/>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uiPriority w:val="99"/>
  </w:style>
  <w:style w:type="character" w:customStyle="1" w:styleId="12">
    <w:name w:val="Pie de página Car"/>
    <w:basedOn w:val="3"/>
    <w:link w:val="9"/>
    <w:uiPriority w:val="99"/>
  </w:style>
  <w:style w:type="character" w:customStyle="1" w:styleId="13">
    <w:name w:val="Título 1 Car"/>
    <w:basedOn w:val="3"/>
    <w:link w:val="2"/>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uiPriority w:val="1"/>
    <w:rPr>
      <w:rFonts w:ascii="Candara" w:hAnsi="Candara" w:eastAsia="Candara" w:cs="Candara"/>
      <w:kern w:val="0"/>
      <w:lang w:val="es-ES"/>
      <w14:ligatures w14:val="none"/>
    </w:rPr>
  </w:style>
  <w:style w:type="paragraph" w:styleId="16">
    <w:name w:val="List Paragraph"/>
    <w:basedOn w:val="1"/>
    <w:qFormat/>
    <w:uiPriority w:val="34"/>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uiPriority w:val="99"/>
    <w:rPr>
      <w:color w:val="605E5C"/>
      <w:shd w:val="clear" w:color="auto" w:fill="E1DFDD"/>
    </w:rPr>
  </w:style>
  <w:style w:type="character" w:customStyle="1" w:styleId="20">
    <w:name w:val="Texto nota pie Car"/>
    <w:basedOn w:val="3"/>
    <w:link w:val="7"/>
    <w:semiHidden/>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0CC30-1C26-48CB-8E1C-482E6659D98F}">
  <ds:schemaRefs/>
</ds:datastoreItem>
</file>

<file path=docProps/app.xml><?xml version="1.0" encoding="utf-8"?>
<Properties xmlns="http://schemas.openxmlformats.org/officeDocument/2006/extended-properties" xmlns:vt="http://schemas.openxmlformats.org/officeDocument/2006/docPropsVTypes">
  <Template>Normal</Template>
  <Pages>4</Pages>
  <Words>1528</Words>
  <Characters>8406</Characters>
  <Lines>70</Lines>
  <Paragraphs>19</Paragraphs>
  <TotalTime>0</TotalTime>
  <ScaleCrop>false</ScaleCrop>
  <LinksUpToDate>false</LinksUpToDate>
  <CharactersWithSpaces>9915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2025-08-08T06:27:52Z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C6A97CD5FDB64CC296D8A1FE79B56C58_13</vt:lpwstr>
  </property>
</Properties>
</file>