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r>
        <w:rPr>
          <w:rFonts w:hint="default"/>
          <w:b w:val="0"/>
          <w:bCs w:val="0"/>
          <w:highlight w:val="none"/>
          <w:lang w:val="es-CO"/>
        </w:rPr>
        <w:t>{telefonoEmpresa}</w:t>
      </w:r>
    </w:p>
    <w:p w14:paraId="4EE4E04E">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78CAE467">
      <w:pPr>
        <w:tabs>
          <w:tab w:val="left" w:pos="346"/>
        </w:tabs>
        <w:spacing w:line="252" w:lineRule="auto"/>
        <w:ind w:right="1029"/>
        <w:jc w:val="both"/>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328CE668">
      <w:pPr>
        <w:pStyle w:val="10"/>
        <w:bidi w:val="0"/>
        <w:rPr>
          <w:rFonts w:hint="default"/>
          <w:lang w:val="es-CO"/>
        </w:rPr>
      </w:pPr>
      <w:r>
        <w:rPr>
          <w:rFonts w:hint="default"/>
          <w:lang w:val="es-CO"/>
        </w:rPr>
        <w:t>{contenidoHechos}</w:t>
      </w:r>
    </w:p>
    <w:p w14:paraId="29996E60">
      <w:pPr>
        <w:pStyle w:val="10"/>
        <w:bidi w:val="0"/>
        <w:rPr>
          <w:rFonts w:hint="default"/>
          <w:lang w:val="es-CO"/>
        </w:rPr>
      </w:pPr>
    </w:p>
    <w:p w14:paraId="3AFF2527">
      <w:pPr>
        <w:pStyle w:val="10"/>
        <w:bidi w:val="0"/>
        <w:rPr>
          <w:rStyle w:val="3"/>
          <w:rFonts w:hint="default"/>
          <w:lang w:val="es-CO"/>
        </w:rPr>
      </w:pPr>
      <w:bookmarkStart w:id="1" w:name="_GoBack"/>
      <w:bookmarkEnd w:id="1"/>
      <w:r>
        <w:rPr>
          <w:rStyle w:val="3"/>
          <w:rFonts w:hint="default"/>
          <w:lang w:val="es-CO"/>
        </w:rPr>
        <w:t>{#imagenesHechos}</w:t>
      </w:r>
    </w:p>
    <w:p w14:paraId="54B41333">
      <w:pPr>
        <w:pStyle w:val="10"/>
        <w:bidi w:val="0"/>
        <w:rPr>
          <w:rStyle w:val="3"/>
          <w:rFonts w:hint="default"/>
          <w:lang w:val="es-CO"/>
        </w:rPr>
      </w:pPr>
      <w:r>
        <w:rPr>
          <w:rStyle w:val="3"/>
          <w:rFonts w:hint="default"/>
          <w:lang w:val="es-CO"/>
        </w:rPr>
        <w:t>{%src}</w:t>
      </w:r>
    </w:p>
    <w:p w14:paraId="45884330">
      <w:pPr>
        <w:pStyle w:val="10"/>
        <w:bidi w:val="0"/>
        <w:rPr>
          <w:rStyle w:val="3"/>
          <w:rFonts w:hint="default"/>
          <w:lang w:val="es-CO"/>
        </w:rPr>
      </w:pPr>
      <w:r>
        <w:rPr>
          <w:rStyle w:val="3"/>
          <w:rFonts w:hint="default"/>
          <w:lang w:val="es-CO"/>
        </w:rPr>
        <w:t>{/imagenesHechos}</w:t>
      </w:r>
    </w:p>
    <w:p w14:paraId="0E3AB28A">
      <w:pPr>
        <w:pStyle w:val="10"/>
        <w:spacing w:before="180"/>
        <w:rPr>
          <w:rFonts w:hint="default"/>
          <w:lang w:val="es-CO"/>
        </w:rPr>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15D12CD3">
      <w:pPr>
        <w:pStyle w:val="10"/>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w:t>
      </w:r>
      <w:r>
        <w:rPr>
          <w:rFonts w:hint="default"/>
          <w:b/>
          <w:bCs/>
          <w:lang w:val="es-CO"/>
        </w:rPr>
        <w:t>$ {cuantia}</w:t>
      </w:r>
      <w:r>
        <w:rPr>
          <w:b/>
          <w:bCs/>
        </w:rPr>
        <w:t xml:space="preserve"> </w:t>
      </w:r>
      <w:r>
        <w:t>en virtud de la subrogación consignada en el artículo 1096 del Código de Comercio.</w:t>
      </w:r>
    </w:p>
    <w:p w14:paraId="14B14597">
      <w:pPr>
        <w:spacing w:line="252" w:lineRule="auto"/>
        <w:jc w:val="right"/>
        <w:sectPr>
          <w:headerReference r:id="rId5" w:type="default"/>
          <w:footerReference r:id="rId6" w:type="default"/>
          <w:pgSz w:w="12240" w:h="15840"/>
          <w:pgMar w:top="1460" w:right="1140" w:bottom="880" w:left="1300" w:header="498" w:footer="687" w:gutter="0"/>
          <w:pgNumType w:start="1"/>
          <w:cols w:space="720" w:num="1"/>
        </w:sectPr>
      </w:pP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b/>
          <w:bCs/>
          <w:lang w:val="es-CO"/>
        </w:rPr>
        <w:t>{numeroPolizaSura}</w:t>
      </w:r>
      <w:r>
        <w:t>.</w:t>
      </w:r>
    </w:p>
    <w:p w14:paraId="47A9B0C0">
      <w:pPr>
        <w:pStyle w:val="18"/>
        <w:ind w:left="708"/>
        <w:jc w:val="both"/>
      </w:pPr>
      <w:r>
        <w:rPr>
          <w:b/>
          <w:bCs/>
        </w:rPr>
        <w:t>b.</w:t>
      </w:r>
      <w:r>
        <w:t xml:space="preserve"> Se produjo un accidente de tránsito entre el vehículo de placa </w:t>
      </w:r>
      <w:r>
        <w:rPr>
          <w:rFonts w:hint="default"/>
          <w:b/>
          <w:bCs/>
          <w:lang w:val="es-CO"/>
        </w:rPr>
        <w:t>{placasPrimerVehiculo}</w:t>
      </w:r>
      <w:r>
        <w:rPr>
          <w:b/>
          <w:bCs/>
        </w:rPr>
        <w:t xml:space="preserve"> </w:t>
      </w:r>
      <w:r>
        <w:t>y el vehículo de placa</w:t>
      </w:r>
    </w:p>
    <w:p w14:paraId="53EE8A31">
      <w:pPr>
        <w:pStyle w:val="18"/>
        <w:ind w:left="708"/>
        <w:jc w:val="both"/>
      </w:pPr>
      <w:r>
        <w:rPr>
          <w:rFonts w:hint="default"/>
          <w:b/>
          <w:bCs/>
          <w:lang w:val="es-CO"/>
        </w:rPr>
        <w:t>{placasSegundoVehiculo}</w:t>
      </w:r>
      <w:r>
        <w:t>, en el cual ha sido atribuida la responsabilidad al vehículo de su propiedad.</w:t>
      </w:r>
    </w:p>
    <w:p w14:paraId="01386ED8">
      <w:pPr>
        <w:pStyle w:val="18"/>
        <w:ind w:left="708"/>
        <w:jc w:val="both"/>
      </w:pPr>
      <w:r>
        <w:rPr>
          <w:b/>
          <w:bCs/>
        </w:rPr>
        <w:t>c.</w:t>
      </w:r>
      <w:r>
        <w:t xml:space="preserve"> Seguros Generales Sura S.A. canceló el valor de la reparación del vehículo de placas </w:t>
      </w:r>
      <w:r>
        <w:rPr>
          <w:rFonts w:hint="default"/>
          <w:lang w:val="es-CO"/>
        </w:rPr>
        <w:t xml:space="preserve">$ </w:t>
      </w:r>
      <w:r>
        <w:rPr>
          <w:rFonts w:hint="default"/>
          <w:b/>
          <w:bCs/>
          <w:highlight w:val="none"/>
          <w:lang w:val="es-CO"/>
        </w:rPr>
        <w:t>{cuantia}</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0"/>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0"/>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0"/>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0"/>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0"/>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0"/>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0"/>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2BB1213D">
      <w:pPr>
        <w:spacing w:line="177" w:lineRule="exact"/>
      </w:pPr>
    </w:p>
    <w:p w14:paraId="4554F54E">
      <w:pPr>
        <w:spacing w:line="177" w:lineRule="exact"/>
        <w:sectPr>
          <w:pgSz w:w="12240" w:h="15840"/>
          <w:pgMar w:top="1460" w:right="1140" w:bottom="880" w:left="1300" w:header="498" w:footer="687" w:gutter="0"/>
          <w:cols w:space="720" w:num="1"/>
        </w:sectPr>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6B3250E5">
      <w:pPr>
        <w:ind w:right="170"/>
        <w:jc w:val="center"/>
        <w:rPr>
          <w:b/>
          <w:spacing w:val="-2"/>
        </w:rPr>
      </w:pPr>
    </w:p>
    <w:p w14:paraId="73B53134">
      <w:pPr>
        <w:pStyle w:val="10"/>
        <w:rPr>
          <w:rFonts w:hint="default"/>
          <w:b w:val="0"/>
          <w:bCs/>
          <w:lang w:val="es-CO"/>
        </w:rPr>
      </w:pPr>
      <w:r>
        <w:rPr>
          <w:rFonts w:hint="default"/>
          <w:b w:val="0"/>
          <w:bCs/>
          <w:lang w:val="es-CO"/>
        </w:rPr>
        <w:t>{contenidoAnexos}</w:t>
      </w:r>
    </w:p>
    <w:p w14:paraId="6469D8CB">
      <w:pPr>
        <w:pStyle w:val="10"/>
        <w:rPr>
          <w:b/>
        </w:rPr>
      </w:pPr>
    </w:p>
    <w:p w14:paraId="7AB825F2">
      <w:pPr>
        <w:pStyle w:val="10"/>
        <w:ind w:left="166"/>
      </w:pPr>
      <w:r>
        <w:rPr>
          <w:spacing w:val="-2"/>
        </w:rPr>
        <w:t>Atentamente,</w:t>
      </w:r>
    </w:p>
    <w:p w14:paraId="0594A157">
      <w:pPr>
        <w:pStyle w:val="10"/>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665566" cy="1028700"/>
                    </a:xfrm>
                    <a:prstGeom prst="rect">
                      <a:avLst/>
                    </a:prstGeom>
                  </pic:spPr>
                </pic:pic>
              </a:graphicData>
            </a:graphic>
          </wp:anchor>
        </w:drawing>
      </w:r>
    </w:p>
    <w:p w14:paraId="31FE33CA">
      <w:pPr>
        <w:pStyle w:val="10"/>
        <w:spacing w:before="2"/>
      </w:pPr>
    </w:p>
    <w:tbl>
      <w:tblPr>
        <w:tblStyle w:val="14"/>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7"/>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7"/>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7" w:type="default"/>
      <w:footerReference r:id="rId8"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6A740B">
    <w:pPr>
      <w:pStyle w:val="10"/>
      <w:spacing w:line="14" w:lineRule="auto"/>
      <w:rPr>
        <w:sz w:val="20"/>
      </w:rPr>
    </w:pPr>
    <w:r>
      <w:drawing>
        <wp:anchor distT="0" distB="0" distL="0" distR="0" simplePos="0" relativeHeight="251662336" behindDoc="1" locked="0" layoutInCell="1" allowOverlap="1">
          <wp:simplePos x="0" y="0"/>
          <wp:positionH relativeFrom="page">
            <wp:posOffset>1132840</wp:posOffset>
          </wp:positionH>
          <wp:positionV relativeFrom="page">
            <wp:posOffset>9555480</wp:posOffset>
          </wp:positionV>
          <wp:extent cx="5220970" cy="402590"/>
          <wp:effectExtent l="0" t="0" r="0" b="3810"/>
          <wp:wrapNone/>
          <wp:docPr id="1070246728" name="Image 2"/>
          <wp:cNvGraphicFramePr/>
          <a:graphic xmlns:a="http://schemas.openxmlformats.org/drawingml/2006/main">
            <a:graphicData uri="http://schemas.openxmlformats.org/drawingml/2006/picture">
              <pic:pic xmlns:pic="http://schemas.openxmlformats.org/drawingml/2006/picture">
                <pic:nvPicPr>
                  <pic:cNvPr id="1070246728" name="Image 2"/>
                  <pic:cNvPicPr/>
                </pic:nvPicPr>
                <pic:blipFill>
                  <a:blip r:embed="rId1" cstate="print"/>
                  <a:stretch>
                    <a:fillRect/>
                  </a:stretch>
                </pic:blipFill>
                <pic:spPr>
                  <a:xfrm>
                    <a:off x="0" y="0"/>
                    <a:ext cx="5221224" cy="40282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9B9C5">
    <w:pPr>
      <w:pStyle w:val="10"/>
      <w:spacing w:line="14" w:lineRule="auto"/>
      <w:rPr>
        <w:sz w:val="20"/>
      </w:rPr>
    </w:pPr>
    <w:r>
      <w:drawing>
        <wp:anchor distT="0" distB="0" distL="0" distR="0" simplePos="0" relativeHeight="251661312" behindDoc="1" locked="0" layoutInCell="1" allowOverlap="1">
          <wp:simplePos x="0" y="0"/>
          <wp:positionH relativeFrom="page">
            <wp:posOffset>930910</wp:posOffset>
          </wp:positionH>
          <wp:positionV relativeFrom="page">
            <wp:posOffset>315595</wp:posOffset>
          </wp:positionV>
          <wp:extent cx="1017270" cy="538480"/>
          <wp:effectExtent l="0" t="0" r="0" b="0"/>
          <wp:wrapNone/>
          <wp:docPr id="587370028" name="Image 1"/>
          <wp:cNvGraphicFramePr/>
          <a:graphic xmlns:a="http://schemas.openxmlformats.org/drawingml/2006/main">
            <a:graphicData uri="http://schemas.openxmlformats.org/drawingml/2006/picture">
              <pic:pic xmlns:pic="http://schemas.openxmlformats.org/drawingml/2006/picture">
                <pic:nvPicPr>
                  <pic:cNvPr id="58737002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216D8"/>
    <w:rsid w:val="00067807"/>
    <w:rsid w:val="00103141"/>
    <w:rsid w:val="001228CA"/>
    <w:rsid w:val="00127612"/>
    <w:rsid w:val="00130765"/>
    <w:rsid w:val="00161C71"/>
    <w:rsid w:val="001F48C3"/>
    <w:rsid w:val="00330698"/>
    <w:rsid w:val="00331130"/>
    <w:rsid w:val="00332B94"/>
    <w:rsid w:val="00335E59"/>
    <w:rsid w:val="00362EE2"/>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3670940"/>
    <w:rsid w:val="042C63EF"/>
    <w:rsid w:val="045A59FC"/>
    <w:rsid w:val="052A45EE"/>
    <w:rsid w:val="05FC3BE0"/>
    <w:rsid w:val="07D843EB"/>
    <w:rsid w:val="08110E03"/>
    <w:rsid w:val="08477D6E"/>
    <w:rsid w:val="098D423D"/>
    <w:rsid w:val="099A0675"/>
    <w:rsid w:val="09DA72C6"/>
    <w:rsid w:val="0C911B2B"/>
    <w:rsid w:val="0F9E5886"/>
    <w:rsid w:val="0FAA00FB"/>
    <w:rsid w:val="106B567E"/>
    <w:rsid w:val="11A55993"/>
    <w:rsid w:val="158521E9"/>
    <w:rsid w:val="15EA7061"/>
    <w:rsid w:val="168C7D15"/>
    <w:rsid w:val="16D85C88"/>
    <w:rsid w:val="1D270A2C"/>
    <w:rsid w:val="1FF40688"/>
    <w:rsid w:val="20325D02"/>
    <w:rsid w:val="2201708C"/>
    <w:rsid w:val="2511775C"/>
    <w:rsid w:val="25F35B50"/>
    <w:rsid w:val="2E334350"/>
    <w:rsid w:val="2F8A1478"/>
    <w:rsid w:val="31F844BD"/>
    <w:rsid w:val="32D54349"/>
    <w:rsid w:val="363A440A"/>
    <w:rsid w:val="37423AD1"/>
    <w:rsid w:val="38F80D91"/>
    <w:rsid w:val="39FB6819"/>
    <w:rsid w:val="3B267C8A"/>
    <w:rsid w:val="3B7C1525"/>
    <w:rsid w:val="3CEF1407"/>
    <w:rsid w:val="3D140F5C"/>
    <w:rsid w:val="44E53515"/>
    <w:rsid w:val="4880045B"/>
    <w:rsid w:val="498B6BD2"/>
    <w:rsid w:val="4BBF46D3"/>
    <w:rsid w:val="4FF23E28"/>
    <w:rsid w:val="52104C64"/>
    <w:rsid w:val="54161C73"/>
    <w:rsid w:val="552044B6"/>
    <w:rsid w:val="5F9369C6"/>
    <w:rsid w:val="60763F7C"/>
    <w:rsid w:val="63567145"/>
    <w:rsid w:val="66BC2B4E"/>
    <w:rsid w:val="67204369"/>
    <w:rsid w:val="6CAC4088"/>
    <w:rsid w:val="6D4443A5"/>
    <w:rsid w:val="6F1B4CFD"/>
    <w:rsid w:val="6F4C55E1"/>
    <w:rsid w:val="729A7139"/>
    <w:rsid w:val="72B97FD0"/>
    <w:rsid w:val="76B66AFB"/>
    <w:rsid w:val="77166770"/>
    <w:rsid w:val="7B872BF5"/>
    <w:rsid w:val="7BDF46BF"/>
    <w:rsid w:val="7E2C713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0"/>
    <w:semiHidden/>
    <w:unhideWhenUsed/>
    <w:qFormat/>
    <w:uiPriority w:val="99"/>
    <w:rPr>
      <w:sz w:val="20"/>
      <w:szCs w:val="20"/>
    </w:rPr>
  </w:style>
  <w:style w:type="paragraph" w:styleId="8">
    <w:name w:val="header"/>
    <w:basedOn w:val="1"/>
    <w:link w:val="11"/>
    <w:unhideWhenUsed/>
    <w:qFormat/>
    <w:uiPriority w:val="99"/>
    <w:pPr>
      <w:tabs>
        <w:tab w:val="center" w:pos="4419"/>
        <w:tab w:val="right" w:pos="8838"/>
      </w:tabs>
    </w:pPr>
  </w:style>
  <w:style w:type="paragraph" w:styleId="9">
    <w:name w:val="footer"/>
    <w:basedOn w:val="1"/>
    <w:link w:val="12"/>
    <w:unhideWhenUsed/>
    <w:qFormat/>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qFormat/>
    <w:uiPriority w:val="99"/>
  </w:style>
  <w:style w:type="character" w:customStyle="1" w:styleId="12">
    <w:name w:val="Pie de página Car"/>
    <w:basedOn w:val="3"/>
    <w:link w:val="9"/>
    <w:qFormat/>
    <w:uiPriority w:val="99"/>
  </w:style>
  <w:style w:type="character" w:customStyle="1" w:styleId="13">
    <w:name w:val="Título 1 Car"/>
    <w:basedOn w:val="3"/>
    <w:link w:val="2"/>
    <w:qFormat/>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qFormat/>
    <w:uiPriority w:val="1"/>
    <w:rPr>
      <w:rFonts w:ascii="Candara" w:hAnsi="Candara" w:eastAsia="Candara" w:cs="Candara"/>
      <w:kern w:val="0"/>
      <w:lang w:val="es-ES"/>
      <w14:ligatures w14:val="none"/>
    </w:rPr>
  </w:style>
  <w:style w:type="paragraph" w:styleId="16">
    <w:name w:val="List Paragraph"/>
    <w:basedOn w:val="1"/>
    <w:qFormat/>
    <w:uiPriority w:val="1"/>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qFormat/>
    <w:uiPriority w:val="99"/>
    <w:rPr>
      <w:color w:val="605E5C"/>
      <w:shd w:val="clear" w:color="auto" w:fill="E1DFDD"/>
    </w:rPr>
  </w:style>
  <w:style w:type="character" w:customStyle="1" w:styleId="20">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461</TotalTime>
  <ScaleCrop>false</ScaleCrop>
  <LinksUpToDate>false</LinksUpToDate>
  <CharactersWithSpaces>9745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2025-07-31T06:21:12Z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D0FDD67EBD014051B32284E2A0E8836F_12</vt:lpwstr>
  </property>
</Properties>
</file>