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40482A1">
      <w:pPr>
        <w:pStyle w:val="10"/>
        <w:spacing w:before="82"/>
      </w:pPr>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8"/>
        <w:rPr>
          <w:rFonts w:hint="default"/>
          <w:b w:val="0"/>
          <w:bCs w:val="0"/>
          <w:highlight w:val="none"/>
          <w:lang w:val="es-CO"/>
        </w:rPr>
      </w:pPr>
      <w:r>
        <w:rPr>
          <w:rFonts w:hint="default"/>
          <w:b w:val="0"/>
          <w:bCs w:val="0"/>
          <w:highlight w:val="none"/>
          <w:lang w:val="es-CO"/>
        </w:rPr>
        <w:t>{direccionEmpresa}</w:t>
      </w:r>
    </w:p>
    <w:bookmarkEnd w:id="0"/>
    <w:p w14:paraId="096E5665">
      <w:pPr>
        <w:pStyle w:val="18"/>
        <w:rPr>
          <w:rFonts w:hint="default"/>
          <w:highlight w:val="none"/>
          <w:lang w:val="es-CO"/>
        </w:rPr>
      </w:pPr>
      <w:r>
        <w:rPr>
          <w:rFonts w:hint="default"/>
          <w:highlight w:val="none"/>
          <w:lang w:val="es-CO"/>
        </w:rPr>
        <w:t>{#correos}{correoEmpresa}{/correos}</w:t>
      </w:r>
    </w:p>
    <w:p w14:paraId="28ED7CA2">
      <w:pPr>
        <w:pStyle w:val="18"/>
        <w:rPr>
          <w:rFonts w:hint="default"/>
          <w:b w:val="0"/>
          <w:bCs w:val="0"/>
          <w:highlight w:val="none"/>
          <w:lang w:val="es-CO"/>
        </w:rPr>
      </w:pPr>
      <w:bookmarkStart w:id="1" w:name="_GoBack"/>
      <w:r>
        <w:rPr>
          <w:rFonts w:hint="default"/>
          <w:b w:val="0"/>
          <w:bCs w:val="0"/>
          <w:highlight w:val="none"/>
          <w:lang w:val="es-CO"/>
        </w:rPr>
        <w:t>{telefonoEmpresa}</w:t>
      </w:r>
    </w:p>
    <w:bookmarkEnd w:id="1"/>
    <w:p w14:paraId="4EE4E04E">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157E6F33">
      <w:pPr>
        <w:tabs>
          <w:tab w:val="left" w:pos="346"/>
        </w:tabs>
        <w:spacing w:line="252" w:lineRule="auto"/>
        <w:ind w:right="1029"/>
        <w:jc w:val="both"/>
      </w:pPr>
      <w:r>
        <w:rPr>
          <w:b/>
          <w:bCs/>
        </w:rPr>
        <w:t>JORGE ARMANDO LASSO DUQUE</w:t>
      </w:r>
      <w:r>
        <w:t xml:space="preserve">, identificado como aparece al pie de mi firma, obrando en calidad de Representante Legal General de la compañía </w:t>
      </w:r>
      <w:r>
        <w:rPr>
          <w:b/>
          <w:bCs/>
        </w:rPr>
        <w:t>SEGUROS GENERALES SURA S.A</w:t>
      </w:r>
      <w:r>
        <w:t xml:space="preserve">., de conformidad con el poder otorgado mediante Escritura Pública No. 392 del 12 de abril de 2016, Clausula Primera, Numeral (5), presento </w:t>
      </w:r>
      <w:r>
        <w:rPr>
          <w:b/>
          <w:bCs/>
        </w:rPr>
        <w:t>RECLAMACIÓN FORMAL</w:t>
      </w:r>
      <w:r>
        <w:t xml:space="preserve"> por el pago de perjuicios, con fundamento en los siguientes:</w:t>
      </w: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27AA51CB">
      <w:pPr>
        <w:pStyle w:val="16"/>
        <w:numPr>
          <w:ilvl w:val="0"/>
          <w:numId w:val="1"/>
        </w:numPr>
        <w:tabs>
          <w:tab w:val="left" w:pos="346"/>
        </w:tabs>
        <w:spacing w:line="252" w:lineRule="auto"/>
        <w:ind w:right="1029"/>
        <w:jc w:val="both"/>
      </w:pPr>
      <w:r>
        <w:t xml:space="preserve">El </w:t>
      </w:r>
      <w:r>
        <w:rPr>
          <w:rFonts w:hint="default"/>
          <w:highlight w:val="none"/>
          <w:lang w:val="es-CO"/>
        </w:rPr>
        <w:t>{diaAccidente}</w:t>
      </w:r>
      <w:r>
        <w:rPr>
          <w:highlight w:val="none"/>
        </w:rPr>
        <w:t xml:space="preserve"> </w:t>
      </w:r>
      <w:r>
        <w:t xml:space="preserve">de </w:t>
      </w:r>
      <w:r>
        <w:rPr>
          <w:rFonts w:hint="default"/>
          <w:lang w:val="es-CO"/>
        </w:rPr>
        <w:t>{mesAccidente}</w:t>
      </w:r>
      <w:r>
        <w:t xml:space="preserve"> del </w:t>
      </w:r>
      <w:r>
        <w:rPr>
          <w:rFonts w:hint="default"/>
          <w:lang w:val="es-CO"/>
        </w:rPr>
        <w:t xml:space="preserve">{añoAccidente} </w:t>
      </w:r>
      <w:r>
        <w:t xml:space="preserve">en la </w:t>
      </w:r>
      <w:r>
        <w:rPr>
          <w:rFonts w:hint="default"/>
          <w:lang w:val="es-CO"/>
        </w:rPr>
        <w:t>{direccionAccidente}</w:t>
      </w:r>
      <w:r>
        <w:t xml:space="preserve">, de la ciudad de </w:t>
      </w:r>
      <w:r>
        <w:rPr>
          <w:rFonts w:hint="default"/>
          <w:highlight w:val="none"/>
          <w:lang w:val="es-CO"/>
        </w:rPr>
        <w:t>{ciudad},</w:t>
      </w:r>
      <w:r>
        <w:t xml:space="preserve"> </w:t>
      </w:r>
      <w:r>
        <w:rPr>
          <w:rFonts w:hint="default"/>
          <w:lang w:val="es-CO"/>
        </w:rPr>
        <w:t>{departamento}</w:t>
      </w:r>
      <w:r>
        <w:rPr>
          <w:highlight w:val="none"/>
        </w:rPr>
        <w:t xml:space="preserve">; </w:t>
      </w:r>
      <w:r>
        <w:t xml:space="preserve">se presentó un accidente de tránsito entre el vehículo de placas </w:t>
      </w:r>
      <w:r>
        <w:rPr>
          <w:rFonts w:hint="default"/>
          <w:b/>
          <w:bCs/>
          <w:highlight w:val="none"/>
          <w:lang w:val="es-CO"/>
        </w:rPr>
        <w:t>{placasPrimerVehiculo}</w:t>
      </w:r>
      <w:r>
        <w:rPr>
          <w:b/>
          <w:bCs/>
        </w:rPr>
        <w:t xml:space="preserve"> </w:t>
      </w:r>
      <w:r>
        <w:t xml:space="preserve">de propiedad de </w:t>
      </w:r>
      <w:r>
        <w:rPr>
          <w:rFonts w:hint="default"/>
          <w:highlight w:val="none"/>
          <w:lang w:val="es-CO"/>
        </w:rPr>
        <w:t>{</w:t>
      </w:r>
      <w:r>
        <w:rPr>
          <w:rFonts w:hint="default"/>
          <w:b/>
          <w:bCs/>
          <w:highlight w:val="none"/>
          <w:lang w:val="es-CO"/>
        </w:rPr>
        <w:t>propietarioPrimerVehiculo</w:t>
      </w:r>
      <w:r>
        <w:rPr>
          <w:rFonts w:hint="default"/>
          <w:highlight w:val="none"/>
          <w:lang w:val="es-CO"/>
        </w:rPr>
        <w:t>}</w:t>
      </w:r>
      <w:r>
        <w:t xml:space="preserve"> y el vehículo de placas </w:t>
      </w:r>
      <w:r>
        <w:rPr>
          <w:rFonts w:hint="default"/>
          <w:b/>
          <w:bCs/>
          <w:highlight w:val="none"/>
          <w:lang w:val="es-CO"/>
        </w:rPr>
        <w:t>{placasSegundoVehiculo}</w:t>
      </w:r>
      <w:r>
        <w:rPr>
          <w:b/>
          <w:bCs/>
        </w:rPr>
        <w:t xml:space="preserve"> </w:t>
      </w:r>
      <w:r>
        <w:t xml:space="preserve">de propiedad de </w:t>
      </w:r>
      <w:r>
        <w:rPr>
          <w:rFonts w:hint="default"/>
          <w:b/>
          <w:bCs/>
          <w:highlight w:val="none"/>
          <w:lang w:val="es-CO"/>
        </w:rPr>
        <w:t xml:space="preserve">{propietarioSegundoVehiculo} </w:t>
      </w:r>
      <w:r>
        <w:t xml:space="preserve">conducido por </w:t>
      </w:r>
      <w:r>
        <w:rPr>
          <w:rFonts w:hint="default"/>
          <w:lang w:val="es-CO"/>
        </w:rPr>
        <w:t>{</w:t>
      </w:r>
      <w:r>
        <w:rPr>
          <w:rFonts w:hint="default"/>
          <w:b/>
          <w:bCs/>
          <w:lang w:val="es-CO"/>
        </w:rPr>
        <w:t>conductorVehiculoInfractor</w:t>
      </w:r>
      <w:r>
        <w:rPr>
          <w:rFonts w:hint="default"/>
          <w:lang w:val="es-CO"/>
        </w:rPr>
        <w:t xml:space="preserve">} </w:t>
      </w:r>
      <w:r>
        <w:t xml:space="preserve">identificado con cédula de ciudadanía </w:t>
      </w:r>
      <w:r>
        <w:rPr>
          <w:rFonts w:hint="default"/>
          <w:highlight w:val="none"/>
          <w:lang w:val="es-CO"/>
        </w:rPr>
        <w:t>{</w:t>
      </w:r>
      <w:r>
        <w:rPr>
          <w:rFonts w:hint="default"/>
          <w:b/>
          <w:bCs/>
          <w:highlight w:val="none"/>
          <w:lang w:val="es-CO"/>
        </w:rPr>
        <w:t>cedulaConductorInfractor</w:t>
      </w:r>
      <w:r>
        <w:rPr>
          <w:rFonts w:hint="default"/>
          <w:highlight w:val="none"/>
          <w:lang w:val="es-CO"/>
        </w:rPr>
        <w:t>}</w:t>
      </w:r>
    </w:p>
    <w:p w14:paraId="4C109C08">
      <w:pPr>
        <w:pStyle w:val="16"/>
        <w:numPr>
          <w:ilvl w:val="0"/>
          <w:numId w:val="1"/>
        </w:numPr>
        <w:tabs>
          <w:tab w:val="left" w:pos="346"/>
        </w:tabs>
        <w:spacing w:line="252" w:lineRule="auto"/>
        <w:ind w:right="1029"/>
        <w:jc w:val="both"/>
      </w:pPr>
      <w:r>
        <w:t xml:space="preserve">Derivado del mentado accidente se levantó la evidencia fotográfica conforme a lo previsto en el artículo 16 de la Ley 2251 del 2022, donde se atribuye la responsabilidad al conductor del vehículo de placas </w:t>
      </w:r>
      <w:r>
        <w:rPr>
          <w:rFonts w:hint="default"/>
          <w:b/>
          <w:bCs/>
          <w:highlight w:val="none"/>
          <w:lang w:val="es-CO"/>
        </w:rPr>
        <w:t>{placasSegundoVehiculo}</w:t>
      </w:r>
    </w:p>
    <w:p w14:paraId="54733B17">
      <w:pPr>
        <w:pStyle w:val="16"/>
        <w:numPr>
          <w:ilvl w:val="0"/>
          <w:numId w:val="1"/>
        </w:numPr>
        <w:tabs>
          <w:tab w:val="left" w:pos="346"/>
        </w:tabs>
        <w:spacing w:line="252" w:lineRule="auto"/>
        <w:ind w:right="1029"/>
        <w:jc w:val="both"/>
      </w:pPr>
      <w:r>
        <w:t xml:space="preserve">El vehículo de placas </w:t>
      </w:r>
      <w:r>
        <w:rPr>
          <w:rFonts w:hint="default"/>
          <w:lang w:val="es-CO"/>
        </w:rPr>
        <w:t>{placasPrimerVehiculo}</w:t>
      </w:r>
      <w:r>
        <w:rPr>
          <w:b/>
          <w:bCs/>
        </w:rPr>
        <w:t xml:space="preserve"> </w:t>
      </w:r>
      <w:r>
        <w:t xml:space="preserve">se encontraba asegurado al momento del accidente por la póliza de seguros </w:t>
      </w:r>
      <w:r>
        <w:rPr>
          <w:rFonts w:hint="default"/>
          <w:b/>
          <w:bCs/>
          <w:highlight w:val="none"/>
          <w:lang w:val="es-CO"/>
        </w:rPr>
        <w:t xml:space="preserve">{numeroPolizaSura} </w:t>
      </w:r>
      <w:r>
        <w:t>expedida por Seguros Generales Suramericana.</w:t>
      </w:r>
    </w:p>
    <w:p w14:paraId="63AEC708">
      <w:pPr>
        <w:pStyle w:val="16"/>
        <w:numPr>
          <w:ilvl w:val="0"/>
          <w:numId w:val="1"/>
        </w:numPr>
        <w:tabs>
          <w:tab w:val="left" w:pos="346"/>
        </w:tabs>
        <w:spacing w:line="252" w:lineRule="auto"/>
        <w:ind w:right="1029"/>
        <w:jc w:val="both"/>
      </w:pPr>
      <w:r>
        <w:t xml:space="preserve">Producto del accidente de tránsito Seguros Generales Sura S.A. canceló la suma de </w:t>
      </w:r>
      <w:r>
        <w:rPr>
          <w:rFonts w:hint="default"/>
          <w:lang w:val="es-CO"/>
        </w:rPr>
        <w:t xml:space="preserve">{cuantia} </w:t>
      </w:r>
      <w:r>
        <w:t>por concepto de reparación de los daños materiales sufridos al vehículo de placas</w:t>
      </w:r>
      <w:r>
        <w:rPr>
          <w:spacing w:val="40"/>
        </w:rPr>
        <w:t xml:space="preserve"> </w:t>
      </w:r>
      <w:r>
        <w:rPr>
          <w:rFonts w:hint="default"/>
          <w:b/>
          <w:bCs/>
          <w:highlight w:val="none"/>
          <w:lang w:val="es-CO"/>
        </w:rPr>
        <w:t>{placasPrimerVehiculo}</w:t>
      </w:r>
      <w:r>
        <w:rPr>
          <w:highlight w:val="none"/>
        </w:rPr>
        <w:t>.</w:t>
      </w:r>
    </w:p>
    <w:p w14:paraId="43166A67">
      <w:pPr>
        <w:pStyle w:val="10"/>
        <w:spacing w:before="180"/>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pPr>
      <w:r>
        <w:rPr>
          <w:spacing w:val="-2"/>
        </w:rPr>
        <w:t>SOLICITUD</w:t>
      </w:r>
    </w:p>
    <w:p w14:paraId="15D12CD3">
      <w:pPr>
        <w:pStyle w:val="10"/>
        <w:spacing w:before="173" w:line="252" w:lineRule="auto"/>
        <w:ind w:left="166" w:right="348"/>
        <w:jc w:val="both"/>
      </w:pPr>
      <w:r>
        <w:t xml:space="preserve">De manera respetuosa solicitamos que </w:t>
      </w:r>
      <w:r>
        <w:rPr>
          <w:rFonts w:hint="default"/>
          <w:b/>
          <w:bCs/>
          <w:highlight w:val="none"/>
          <w:lang w:val="es-CO"/>
        </w:rPr>
        <w:t>{nombreEmpresa}</w:t>
      </w:r>
      <w:r>
        <w:rPr>
          <w:b/>
          <w:bCs/>
          <w:highlight w:val="none"/>
        </w:rPr>
        <w:t xml:space="preserve"> </w:t>
      </w:r>
      <w:r>
        <w:t>cancele a favor de Seguros Generales Sura S.A. la suma de</w:t>
      </w:r>
      <w:r>
        <w:rPr>
          <w:rFonts w:hint="default"/>
          <w:lang w:val="es-CO"/>
        </w:rPr>
        <w:t xml:space="preserve"> {cuantia}</w:t>
      </w:r>
      <w:r>
        <w:rPr>
          <w:b/>
          <w:bCs/>
        </w:rPr>
        <w:t xml:space="preserve"> </w:t>
      </w:r>
      <w:r>
        <w:t>en virtud de la subrogación consignada en el artículo 1096 del Código de Comercio.</w:t>
      </w:r>
    </w:p>
    <w:p w14:paraId="14B14597">
      <w:pPr>
        <w:spacing w:line="252" w:lineRule="auto"/>
        <w:jc w:val="right"/>
        <w:sectPr>
          <w:headerReference r:id="rId5" w:type="default"/>
          <w:footerReference r:id="rId6" w:type="default"/>
          <w:pgSz w:w="12240" w:h="15840"/>
          <w:pgMar w:top="1460" w:right="1140" w:bottom="880" w:left="1300" w:header="498" w:footer="687" w:gutter="0"/>
          <w:pgNumType w:start="1"/>
          <w:cols w:space="720" w:num="1"/>
        </w:sectPr>
      </w:pPr>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lang w:val="es-CO"/>
        </w:rPr>
        <w:t>{numeroPolizaSura}</w:t>
      </w:r>
      <w:r>
        <w:t>.</w:t>
      </w:r>
    </w:p>
    <w:p w14:paraId="47A9B0C0">
      <w:pPr>
        <w:pStyle w:val="18"/>
        <w:ind w:left="708"/>
        <w:jc w:val="both"/>
      </w:pPr>
      <w:r>
        <w:rPr>
          <w:b/>
          <w:bCs/>
        </w:rPr>
        <w:t>b.</w:t>
      </w:r>
      <w:r>
        <w:t xml:space="preserve"> Se produjo un accidente de tránsito entre el vehículo de placa </w:t>
      </w:r>
      <w:r>
        <w:rPr>
          <w:rFonts w:hint="default"/>
          <w:lang w:val="es-CO"/>
        </w:rPr>
        <w:t>{placasPrimerVehiculo}</w:t>
      </w:r>
      <w:r>
        <w:rPr>
          <w:b/>
          <w:bCs/>
        </w:rPr>
        <w:t xml:space="preserve"> </w:t>
      </w:r>
      <w:r>
        <w:t>y el vehículo de placa</w:t>
      </w:r>
    </w:p>
    <w:p w14:paraId="53EE8A31">
      <w:pPr>
        <w:pStyle w:val="18"/>
        <w:ind w:left="708"/>
        <w:jc w:val="both"/>
      </w:pPr>
      <w:r>
        <w:rPr>
          <w:rFonts w:hint="default"/>
          <w:b/>
          <w:bCs/>
          <w:lang w:val="es-CO"/>
        </w:rPr>
        <w:t>{placasSegundoVehiculo}</w:t>
      </w:r>
      <w:r>
        <w:t>, en el cual ha sido atribuida la responsabilidad al vehículo de su propiedad.</w:t>
      </w:r>
    </w:p>
    <w:p w14:paraId="01386ED8">
      <w:pPr>
        <w:pStyle w:val="18"/>
        <w:ind w:left="708"/>
        <w:jc w:val="both"/>
      </w:pPr>
      <w:r>
        <w:rPr>
          <w:b/>
          <w:bCs/>
        </w:rPr>
        <w:t>c.</w:t>
      </w:r>
      <w:r>
        <w:t xml:space="preserve"> Seguros Generales Sura S.A. canceló el valor de la reparación del vehículo de placas </w:t>
      </w:r>
      <w:r>
        <w:rPr>
          <w:rFonts w:hint="default"/>
          <w:b/>
          <w:bCs/>
          <w:highlight w:val="none"/>
          <w:lang w:val="es-CO"/>
        </w:rPr>
        <w:t>{cuantia}</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2"/>
      </w:r>
    </w:p>
    <w:p w14:paraId="575A67C5">
      <w:pPr>
        <w:jc w:val="both"/>
      </w:pPr>
    </w:p>
    <w:p w14:paraId="424BD6C5">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27B141D">
      <w:pPr>
        <w:spacing w:line="177" w:lineRule="exact"/>
      </w:pPr>
    </w:p>
    <w:p w14:paraId="76BF807D">
      <w:pPr>
        <w:spacing w:line="177" w:lineRule="exact"/>
        <w:rPr>
          <w:b/>
          <w:bCs/>
        </w:rPr>
      </w:pPr>
    </w:p>
    <w:p w14:paraId="2BB1213D">
      <w:pPr>
        <w:spacing w:line="177" w:lineRule="exact"/>
      </w:pPr>
    </w:p>
    <w:p w14:paraId="4554F54E">
      <w:pPr>
        <w:spacing w:line="177" w:lineRule="exact"/>
        <w:sectPr>
          <w:pgSz w:w="12240" w:h="15840"/>
          <w:pgMar w:top="1460" w:right="1140" w:bottom="880" w:left="1300" w:header="498" w:footer="687" w:gutter="0"/>
          <w:cols w:space="720" w:num="1"/>
        </w:sectPr>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rPr>
      </w:pPr>
      <w:r>
        <w:rPr>
          <w:b/>
          <w:spacing w:val="-2"/>
        </w:rPr>
        <w:t>ANEXOS</w:t>
      </w:r>
    </w:p>
    <w:p w14:paraId="73B53134">
      <w:pPr>
        <w:pStyle w:val="10"/>
        <w:rPr>
          <w:rFonts w:hint="default"/>
          <w:b/>
          <w:lang w:val="es-CO"/>
        </w:rPr>
      </w:pPr>
      <w:r>
        <w:rPr>
          <w:rFonts w:hint="default"/>
          <w:b/>
          <w:lang w:val="es-CO"/>
        </w:rPr>
        <w:t>{anexos}</w:t>
      </w:r>
    </w:p>
    <w:p w14:paraId="72C62378">
      <w:pPr>
        <w:pStyle w:val="10"/>
        <w:rPr>
          <w:b/>
        </w:rPr>
      </w:pPr>
    </w:p>
    <w:p w14:paraId="7AB825F2">
      <w:pPr>
        <w:pStyle w:val="10"/>
        <w:ind w:left="166"/>
      </w:pPr>
      <w:r>
        <w:rPr>
          <w:spacing w:val="-2"/>
        </w:rPr>
        <w:t>Atentamente,</w:t>
      </w:r>
    </w:p>
    <w:p w14:paraId="0594A157">
      <w:pPr>
        <w:pStyle w:val="10"/>
        <w:spacing w:before="93"/>
      </w:pPr>
      <w:r>
        <w:drawing>
          <wp:anchor distT="0" distB="0" distL="0" distR="0" simplePos="0" relativeHeight="251659264" behindDoc="1" locked="0" layoutInCell="1" allowOverlap="1">
            <wp:simplePos x="0" y="0"/>
            <wp:positionH relativeFrom="page">
              <wp:posOffset>1028700</wp:posOffset>
            </wp:positionH>
            <wp:positionV relativeFrom="paragraph">
              <wp:posOffset>229870</wp:posOffset>
            </wp:positionV>
            <wp:extent cx="1665605" cy="10287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65566" cy="1028700"/>
                    </a:xfrm>
                    <a:prstGeom prst="rect">
                      <a:avLst/>
                    </a:prstGeom>
                  </pic:spPr>
                </pic:pic>
              </a:graphicData>
            </a:graphic>
          </wp:anchor>
        </w:drawing>
      </w:r>
    </w:p>
    <w:p w14:paraId="31FE33CA">
      <w:pPr>
        <w:pStyle w:val="10"/>
        <w:spacing w:before="2"/>
      </w:pPr>
    </w:p>
    <w:tbl>
      <w:tblPr>
        <w:tblStyle w:val="14"/>
        <w:tblW w:w="0" w:type="auto"/>
        <w:tblInd w:w="133" w:type="dxa"/>
        <w:tblLayout w:type="fixed"/>
        <w:tblCellMar>
          <w:top w:w="0" w:type="dxa"/>
          <w:left w:w="0" w:type="dxa"/>
          <w:bottom w:w="0" w:type="dxa"/>
          <w:right w:w="0" w:type="dxa"/>
        </w:tblCellMar>
      </w:tblPr>
      <w:tblGrid>
        <w:gridCol w:w="3214"/>
      </w:tblGrid>
      <w:tr w14:paraId="56E1E98C">
        <w:tblPrEx>
          <w:tblCellMar>
            <w:top w:w="0" w:type="dxa"/>
            <w:left w:w="0" w:type="dxa"/>
            <w:bottom w:w="0" w:type="dxa"/>
            <w:right w:w="0" w:type="dxa"/>
          </w:tblCellMar>
        </w:tblPrEx>
        <w:trPr>
          <w:trHeight w:val="241" w:hRule="atLeast"/>
        </w:trPr>
        <w:tc>
          <w:tcPr>
            <w:tcW w:w="3214" w:type="dxa"/>
          </w:tcPr>
          <w:p w14:paraId="0015942B">
            <w:pPr>
              <w:pStyle w:val="17"/>
              <w:spacing w:line="219" w:lineRule="exact"/>
              <w:rPr>
                <w:b/>
              </w:rPr>
            </w:pPr>
            <w:r>
              <w:rPr>
                <w:b/>
                <w:spacing w:val="-2"/>
              </w:rPr>
              <w:t>JORGE</w:t>
            </w:r>
            <w:r>
              <w:rPr>
                <w:b/>
                <w:spacing w:val="4"/>
              </w:rPr>
              <w:t xml:space="preserve"> </w:t>
            </w:r>
            <w:r>
              <w:rPr>
                <w:b/>
                <w:spacing w:val="-2"/>
              </w:rPr>
              <w:t>ARMANDO</w:t>
            </w:r>
            <w:r>
              <w:rPr>
                <w:b/>
                <w:spacing w:val="-3"/>
              </w:rPr>
              <w:t xml:space="preserve"> </w:t>
            </w:r>
            <w:r>
              <w:rPr>
                <w:b/>
                <w:spacing w:val="-2"/>
              </w:rPr>
              <w:t>LASSO</w:t>
            </w:r>
            <w:r>
              <w:rPr>
                <w:b/>
                <w:spacing w:val="-4"/>
              </w:rPr>
              <w:t xml:space="preserve"> DUQUE</w:t>
            </w:r>
          </w:p>
        </w:tc>
      </w:tr>
      <w:tr w14:paraId="52998F7C">
        <w:tblPrEx>
          <w:tblCellMar>
            <w:top w:w="0" w:type="dxa"/>
            <w:left w:w="0" w:type="dxa"/>
            <w:bottom w:w="0" w:type="dxa"/>
            <w:right w:w="0" w:type="dxa"/>
          </w:tblCellMar>
        </w:tblPrEx>
        <w:trPr>
          <w:trHeight w:val="241" w:hRule="atLeast"/>
        </w:trPr>
        <w:tc>
          <w:tcPr>
            <w:tcW w:w="3214" w:type="dxa"/>
          </w:tcPr>
          <w:p w14:paraId="33C974FB">
            <w:pPr>
              <w:pStyle w:val="17"/>
              <w:spacing w:line="221" w:lineRule="exact"/>
            </w:pPr>
            <w:r>
              <w:t>C.C.</w:t>
            </w:r>
            <w:r>
              <w:rPr>
                <w:spacing w:val="-8"/>
              </w:rPr>
              <w:t xml:space="preserve"> </w:t>
            </w:r>
            <w:r>
              <w:rPr>
                <w:spacing w:val="-2"/>
              </w:rPr>
              <w:t>1.130.638.193</w:t>
            </w:r>
          </w:p>
        </w:tc>
      </w:tr>
    </w:tbl>
    <w:p w14:paraId="68225AC4"/>
    <w:p w14:paraId="7F786E77"/>
    <w:p w14:paraId="0B6A8301"/>
    <w:p w14:paraId="30A2B591"/>
    <w:p w14:paraId="737D47DF"/>
    <w:p w14:paraId="6DDA21AA"/>
    <w:p w14:paraId="457B0567"/>
    <w:p w14:paraId="3196F4F7"/>
    <w:p w14:paraId="1FF30E20"/>
    <w:p w14:paraId="2BC7D7C9">
      <w:pPr>
        <w:rPr>
          <w:rFonts w:hint="default"/>
          <w:lang w:val="es-CO"/>
        </w:rPr>
      </w:pPr>
    </w:p>
    <w:sectPr>
      <w:headerReference r:id="rId7" w:type="default"/>
      <w:footerReference r:id="rId8"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A740B">
    <w:pPr>
      <w:pStyle w:val="10"/>
      <w:spacing w:line="14" w:lineRule="auto"/>
      <w:rPr>
        <w:sz w:val="20"/>
      </w:rPr>
    </w:pPr>
    <w:r>
      <w:drawing>
        <wp:anchor distT="0" distB="0" distL="0" distR="0" simplePos="0" relativeHeight="251662336" behindDoc="1" locked="0" layoutInCell="1" allowOverlap="1">
          <wp:simplePos x="0" y="0"/>
          <wp:positionH relativeFrom="page">
            <wp:posOffset>1132840</wp:posOffset>
          </wp:positionH>
          <wp:positionV relativeFrom="page">
            <wp:posOffset>9555480</wp:posOffset>
          </wp:positionV>
          <wp:extent cx="5220970" cy="402590"/>
          <wp:effectExtent l="0" t="0" r="0" b="3810"/>
          <wp:wrapNone/>
          <wp:docPr id="1070246728" name="Image 2"/>
          <wp:cNvGraphicFramePr/>
          <a:graphic xmlns:a="http://schemas.openxmlformats.org/drawingml/2006/main">
            <a:graphicData uri="http://schemas.openxmlformats.org/drawingml/2006/picture">
              <pic:pic xmlns:pic="http://schemas.openxmlformats.org/drawingml/2006/picture">
                <pic:nvPicPr>
                  <pic:cNvPr id="1070246728" name="Image 2"/>
                  <pic:cNvPicPr/>
                </pic:nvPicPr>
                <pic:blipFill>
                  <a:blip r:embed="rId1" cstate="print"/>
                  <a:stretch>
                    <a:fillRect/>
                  </a:stretch>
                </pic:blipFill>
                <pic:spPr>
                  <a:xfrm>
                    <a:off x="0" y="0"/>
                    <a:ext cx="5221224" cy="40282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7"/>
        <w:rPr>
          <w:lang w:val="es-CO"/>
        </w:rPr>
      </w:pPr>
      <w:r>
        <w:rPr>
          <w:rStyle w:val="5"/>
        </w:rPr>
        <w:footnoteRef/>
      </w:r>
      <w:r>
        <w:t xml:space="preserve"> Código Comercial Colombiano (CCo) Decreto 410 de 1971. Artículo 1096. Marzo 27 de 1971 (Colombia).</w:t>
      </w:r>
    </w:p>
  </w:footnote>
  <w:footnote w:id="1">
    <w:p w14:paraId="09CF48B6">
      <w:pPr>
        <w:pStyle w:val="7"/>
        <w:rPr>
          <w:lang w:val="es-CO"/>
        </w:rPr>
      </w:pPr>
      <w:r>
        <w:rPr>
          <w:rStyle w:val="5"/>
        </w:rPr>
        <w:footnoteRef/>
      </w:r>
      <w:r>
        <w:t xml:space="preserve"> Corte Suprema de Justicia. Sala de Casación Civil. Sentencia SC 003-2015. (M. P. Jesús Vall de Rutén; 14 de enero de 2015).</w:t>
      </w:r>
    </w:p>
  </w:footnote>
  <w:footnote w:id="2">
    <w:p w14:paraId="6260866E">
      <w:pPr>
        <w:pStyle w:val="7"/>
        <w:rPr>
          <w:lang w:val="es-CO"/>
        </w:rPr>
      </w:pPr>
      <w:r>
        <w:rPr>
          <w:rStyle w:val="5"/>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9B9C5">
    <w:pPr>
      <w:pStyle w:val="10"/>
      <w:spacing w:line="14" w:lineRule="auto"/>
      <w:rPr>
        <w:sz w:val="20"/>
      </w:rPr>
    </w:pPr>
    <w:r>
      <w:drawing>
        <wp:anchor distT="0" distB="0" distL="0" distR="0" simplePos="0" relativeHeight="251661312" behindDoc="1" locked="0" layoutInCell="1" allowOverlap="1">
          <wp:simplePos x="0" y="0"/>
          <wp:positionH relativeFrom="page">
            <wp:posOffset>930910</wp:posOffset>
          </wp:positionH>
          <wp:positionV relativeFrom="page">
            <wp:posOffset>315595</wp:posOffset>
          </wp:positionV>
          <wp:extent cx="1017270" cy="538480"/>
          <wp:effectExtent l="0" t="0" r="0" b="0"/>
          <wp:wrapNone/>
          <wp:docPr id="587370028" name="Image 1"/>
          <wp:cNvGraphicFramePr/>
          <a:graphic xmlns:a="http://schemas.openxmlformats.org/drawingml/2006/main">
            <a:graphicData uri="http://schemas.openxmlformats.org/drawingml/2006/picture">
              <pic:pic xmlns:pic="http://schemas.openxmlformats.org/drawingml/2006/picture">
                <pic:nvPicPr>
                  <pic:cNvPr id="58737002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67065"/>
    <w:multiLevelType w:val="multilevel"/>
    <w:tmpl w:val="57967065"/>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216D8"/>
    <w:rsid w:val="00067807"/>
    <w:rsid w:val="00103141"/>
    <w:rsid w:val="001228CA"/>
    <w:rsid w:val="00127612"/>
    <w:rsid w:val="00130765"/>
    <w:rsid w:val="00161C71"/>
    <w:rsid w:val="001F48C3"/>
    <w:rsid w:val="00330698"/>
    <w:rsid w:val="00331130"/>
    <w:rsid w:val="00332B94"/>
    <w:rsid w:val="00335E59"/>
    <w:rsid w:val="00362EE2"/>
    <w:rsid w:val="00365146"/>
    <w:rsid w:val="00367E95"/>
    <w:rsid w:val="00370647"/>
    <w:rsid w:val="00382EE7"/>
    <w:rsid w:val="003A14DC"/>
    <w:rsid w:val="003A7169"/>
    <w:rsid w:val="00452C45"/>
    <w:rsid w:val="004976DA"/>
    <w:rsid w:val="004E3F85"/>
    <w:rsid w:val="004E7634"/>
    <w:rsid w:val="00506435"/>
    <w:rsid w:val="00521C89"/>
    <w:rsid w:val="0053732F"/>
    <w:rsid w:val="00587642"/>
    <w:rsid w:val="005E0714"/>
    <w:rsid w:val="005F30D8"/>
    <w:rsid w:val="005F69A5"/>
    <w:rsid w:val="00634A44"/>
    <w:rsid w:val="00670B72"/>
    <w:rsid w:val="00670C6A"/>
    <w:rsid w:val="00675941"/>
    <w:rsid w:val="006B0520"/>
    <w:rsid w:val="00727978"/>
    <w:rsid w:val="007606EA"/>
    <w:rsid w:val="00765248"/>
    <w:rsid w:val="00772ADD"/>
    <w:rsid w:val="007D52AD"/>
    <w:rsid w:val="007E0378"/>
    <w:rsid w:val="00856BEA"/>
    <w:rsid w:val="00865A40"/>
    <w:rsid w:val="008B53FC"/>
    <w:rsid w:val="009E5453"/>
    <w:rsid w:val="00A432F2"/>
    <w:rsid w:val="00A73F3A"/>
    <w:rsid w:val="00A75BD3"/>
    <w:rsid w:val="00AE6DCA"/>
    <w:rsid w:val="00B50F7F"/>
    <w:rsid w:val="00B67449"/>
    <w:rsid w:val="00B67D84"/>
    <w:rsid w:val="00BF778A"/>
    <w:rsid w:val="00C05312"/>
    <w:rsid w:val="00C100A3"/>
    <w:rsid w:val="00C94406"/>
    <w:rsid w:val="00D04337"/>
    <w:rsid w:val="00D25B60"/>
    <w:rsid w:val="00D92C10"/>
    <w:rsid w:val="00D93E6E"/>
    <w:rsid w:val="00DF6277"/>
    <w:rsid w:val="00E634B0"/>
    <w:rsid w:val="00E86010"/>
    <w:rsid w:val="00EA3350"/>
    <w:rsid w:val="00EC0778"/>
    <w:rsid w:val="00ED1460"/>
    <w:rsid w:val="00EE2B17"/>
    <w:rsid w:val="00EE3508"/>
    <w:rsid w:val="00EE5222"/>
    <w:rsid w:val="00F36FE5"/>
    <w:rsid w:val="042C63EF"/>
    <w:rsid w:val="045A59FC"/>
    <w:rsid w:val="052A45EE"/>
    <w:rsid w:val="098D423D"/>
    <w:rsid w:val="09DA72C6"/>
    <w:rsid w:val="0C911B2B"/>
    <w:rsid w:val="11A55993"/>
    <w:rsid w:val="158521E9"/>
    <w:rsid w:val="16D85C88"/>
    <w:rsid w:val="1D270A2C"/>
    <w:rsid w:val="363A440A"/>
    <w:rsid w:val="37423AD1"/>
    <w:rsid w:val="3CEF1407"/>
    <w:rsid w:val="44E53515"/>
    <w:rsid w:val="498B6BD2"/>
    <w:rsid w:val="4BBF46D3"/>
    <w:rsid w:val="52104C64"/>
    <w:rsid w:val="5F9369C6"/>
    <w:rsid w:val="7B872BF5"/>
    <w:rsid w:val="7E2C713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1502</Words>
  <Characters>8262</Characters>
  <Lines>68</Lines>
  <Paragraphs>19</Paragraphs>
  <TotalTime>206</TotalTime>
  <ScaleCrop>false</ScaleCrop>
  <LinksUpToDate>false</LinksUpToDate>
  <CharactersWithSpaces>9745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2025-07-14T23:06:00Z</dcterms:created>
  <dc:creator>JUAN ESTEBAN SILVA</dc:creator>
  <cp:lastModifiedBy>ferna</cp:lastModifiedBy>
  <dcterms:modified xsi:type="dcterms:W3CDTF">2025-07-23T20:53:07Z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D0FDD67EBD014051B32284E2A0E8836F_12</vt:lpwstr>
  </property>
</Properties>
</file>