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1"/>
        <w:shd w:val="clear" w:color="auto" w:fill="FFFF00"/>
        <w:spacing w:before="82"/>
        <w:rPr>
          <w:rFonts w:hint="default"/>
          <w:highlight w:val="none"/>
          <w:shd w:val="clear" w:color="auto" w:fill="auto"/>
          <w:lang w:val="es-CO"/>
        </w:rPr>
      </w:pPr>
      <w:r>
        <w:rPr>
          <w:highlight w:val="none"/>
          <w:shd w:val="clear" w:color="auto" w:fill="auto"/>
        </w:rPr>
        <w:t xml:space="preserve">Santiago de Cali, </w:t>
      </w:r>
      <w:r>
        <w:rPr>
          <w:rFonts w:hint="default"/>
          <w:highlight w:val="none"/>
          <w:shd w:val="clear" w:color="auto" w:fill="auto"/>
          <w:lang w:val="es-CO"/>
        </w:rPr>
        <w:t>{diaActual}</w:t>
      </w:r>
      <w:r>
        <w:rPr>
          <w:highlight w:val="none"/>
          <w:shd w:val="clear" w:color="auto" w:fill="auto"/>
        </w:rPr>
        <w:t xml:space="preserve"> de </w:t>
      </w:r>
      <w:r>
        <w:rPr>
          <w:rFonts w:hint="default"/>
          <w:highlight w:val="none"/>
          <w:shd w:val="clear" w:color="auto" w:fill="auto"/>
          <w:lang w:val="es-CO"/>
        </w:rPr>
        <w:t>{mesActual}</w:t>
      </w:r>
      <w:r>
        <w:rPr>
          <w:highlight w:val="none"/>
          <w:shd w:val="clear" w:color="auto" w:fill="auto"/>
        </w:rPr>
        <w:t xml:space="preserve"> del </w:t>
      </w:r>
      <w:r>
        <w:rPr>
          <w:rFonts w:hint="default"/>
          <w:highlight w:val="none"/>
          <w:shd w:val="clear" w:color="auto" w:fill="auto"/>
          <w:lang w:val="es-CO"/>
        </w:rPr>
        <w:t>{añoActual}</w:t>
      </w:r>
    </w:p>
    <w:p w14:paraId="640482A1">
      <w:pPr>
        <w:pStyle w:val="11"/>
        <w:spacing w:before="82"/>
      </w:pPr>
    </w:p>
    <w:p w14:paraId="1C1442F1">
      <w:pPr>
        <w:pStyle w:val="19"/>
      </w:pPr>
      <w:r>
        <w:t>Señores:</w:t>
      </w:r>
    </w:p>
    <w:p w14:paraId="3BC1F796">
      <w:pPr>
        <w:pStyle w:val="19"/>
        <w:shd w:val="clear" w:color="auto" w:fill="FFFF00"/>
        <w:rPr>
          <w:rFonts w:hint="default"/>
          <w:b/>
          <w:bCs/>
          <w:lang w:val="es-CO"/>
        </w:rPr>
      </w:pPr>
      <w:bookmarkStart w:id="0" w:name="_Hlk179275769"/>
      <w:r>
        <w:rPr>
          <w:rFonts w:hint="default"/>
          <w:b/>
          <w:bCs/>
          <w:lang w:val="es-CO"/>
        </w:rPr>
        <w:t>{nombreEmpresa</w:t>
      </w:r>
    </w:p>
    <w:bookmarkEnd w:id="0"/>
    <w:p w14:paraId="60FCD886">
      <w:pPr>
        <w:pStyle w:val="19"/>
        <w:shd w:val="clear" w:color="auto" w:fill="FFFF00"/>
        <w:rPr>
          <w:rFonts w:hint="default"/>
          <w:b/>
          <w:bCs/>
          <w:lang w:val="es-CO"/>
        </w:rPr>
      </w:pPr>
      <w:r>
        <w:rPr>
          <w:b/>
          <w:bCs/>
        </w:rPr>
        <w:t xml:space="preserve">NIT: </w:t>
      </w:r>
      <w:r>
        <w:rPr>
          <w:rFonts w:hint="default"/>
          <w:b/>
          <w:bCs/>
          <w:lang w:val="es-CO"/>
        </w:rPr>
        <w:t>{nitEmpresa}</w:t>
      </w:r>
    </w:p>
    <w:p w14:paraId="56822A4B">
      <w:pPr>
        <w:pStyle w:val="19"/>
        <w:shd w:val="clear" w:color="auto" w:fill="FFFF00"/>
        <w:rPr>
          <w:rFonts w:hint="default"/>
          <w:b/>
          <w:bCs/>
          <w:lang w:val="es-CO"/>
        </w:rPr>
      </w:pPr>
      <w:r>
        <w:rPr>
          <w:rFonts w:hint="default"/>
          <w:b/>
          <w:bCs/>
          <w:lang w:val="es-CO"/>
        </w:rPr>
        <w:t>{</w:t>
      </w:r>
      <w:r>
        <w:rPr>
          <w:rFonts w:hint="default"/>
          <w:b/>
          <w:bCs/>
          <w:highlight w:val="none"/>
          <w:lang w:val="es-CO"/>
        </w:rPr>
        <w:t>direccionEmpresa</w:t>
      </w:r>
      <w:r>
        <w:rPr>
          <w:rFonts w:hint="default"/>
          <w:b/>
          <w:bCs/>
          <w:lang w:val="es-CO"/>
        </w:rPr>
        <w:t>}</w:t>
      </w:r>
    </w:p>
    <w:p w14:paraId="3746EB04">
      <w:pPr>
        <w:pStyle w:val="19"/>
        <w:rPr>
          <w:rFonts w:hint="default"/>
          <w:highlight w:val="none"/>
          <w:lang w:val="es-CO"/>
        </w:rPr>
      </w:pPr>
      <w:r>
        <w:rPr>
          <w:rFonts w:hint="default"/>
          <w:highlight w:val="none"/>
          <w:lang w:val="es-CO"/>
        </w:rPr>
        <w:t>{#correos}{correoEmpresa}{/correos}</w:t>
      </w:r>
    </w:p>
    <w:p w14:paraId="3837E763">
      <w:pPr>
        <w:pStyle w:val="19"/>
        <w:rPr>
          <w:rFonts w:hint="default"/>
          <w:b w:val="0"/>
          <w:bCs w:val="0"/>
          <w:highlight w:val="none"/>
          <w:lang w:val="es-CO"/>
        </w:rPr>
      </w:pPr>
      <w:r>
        <w:rPr>
          <w:rFonts w:hint="default"/>
          <w:lang w:val="es-CO"/>
        </w:rPr>
        <w:t>{</w:t>
      </w:r>
      <w:r>
        <w:rPr>
          <w:rFonts w:hint="default"/>
          <w:b w:val="0"/>
          <w:bCs w:val="0"/>
          <w:highlight w:val="none"/>
          <w:lang w:val="es-CO"/>
        </w:rPr>
        <w:t>telefonoEmpresa}</w:t>
      </w:r>
    </w:p>
    <w:p w14:paraId="1D9E9C0A">
      <w:pPr>
        <w:pStyle w:val="19"/>
        <w:rPr>
          <w:rFonts w:hint="default"/>
          <w:b w:val="0"/>
          <w:bCs w:val="0"/>
          <w:highlight w:val="none"/>
          <w:lang w:val="es-CO"/>
        </w:rPr>
      </w:pPr>
      <w:bookmarkStart w:id="2" w:name="_GoBack"/>
      <w:bookmarkEnd w:id="2"/>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1"/>
        <w:spacing w:before="57" w:after="1"/>
        <w:rPr>
          <w:b/>
          <w:i/>
        </w:rPr>
      </w:pPr>
    </w:p>
    <w:p w14:paraId="31FB6C81">
      <w:pPr>
        <w:tabs>
          <w:tab w:val="left" w:pos="346"/>
        </w:tabs>
        <w:spacing w:line="252" w:lineRule="auto"/>
        <w:ind w:right="1029"/>
      </w:pPr>
    </w:p>
    <w:p w14:paraId="67751C38">
      <w:pPr>
        <w:spacing w:line="264" w:lineRule="auto"/>
        <w:jc w:val="both"/>
        <w:rPr>
          <w:rFonts w:cs="Arial"/>
        </w:rPr>
      </w:pPr>
      <w:r>
        <w:rPr>
          <w:rFonts w:cs="Arial"/>
          <w:b/>
        </w:rPr>
        <w:t>LINA MARIA BENITEZ FREYRE</w:t>
      </w:r>
      <w:r>
        <w:rPr>
          <w:rFonts w:cs="Arial"/>
          <w:color w:val="000000"/>
        </w:rPr>
        <w:t xml:space="preserve">, identificado como aparece al pie de mi firma, obrando en calidad de apoderada de </w:t>
      </w:r>
      <w:r>
        <w:rPr>
          <w:rFonts w:cs="Arial"/>
          <w:b/>
          <w:bCs/>
          <w:color w:val="000000"/>
          <w:shd w:val="clear" w:color="auto" w:fill="FFFF00"/>
        </w:rPr>
        <w:t>XXXXXXXXXXXXXXXXXX</w:t>
      </w:r>
      <w:r>
        <w:rPr>
          <w:rFonts w:cs="Arial"/>
          <w:color w:val="000000"/>
        </w:rPr>
        <w:t xml:space="preserve">, de conformidad con el poder adjunto y </w:t>
      </w:r>
      <w:r>
        <w:rPr>
          <w:rFonts w:cs="Arial"/>
          <w:b/>
        </w:rPr>
        <w:t>JORGE ARMANDO LASSO DUQUE</w:t>
      </w:r>
      <w:r>
        <w:rPr>
          <w:rFonts w:cs="Arial"/>
          <w:color w:val="000000"/>
        </w:rPr>
        <w:t xml:space="preserve">, identificado como aparece al pie de mi firma, obrando en calidad de Representante Legal General de la compañía </w:t>
      </w:r>
      <w:r>
        <w:rPr>
          <w:rFonts w:cs="Arial"/>
          <w:b/>
          <w:bCs/>
          <w:color w:val="000000"/>
        </w:rPr>
        <w:t>SEGUROS GENERALES SURA S.A.,</w:t>
      </w:r>
      <w:r>
        <w:rPr>
          <w:rFonts w:cs="Arial"/>
          <w:color w:val="000000"/>
        </w:rPr>
        <w:t xml:space="preserve"> de conformidad con el poder otorgado mediante Escritura Pública No. 640 del 14 de junio de 2016, Clausula Primera, Numeral (5), presento </w:t>
      </w:r>
      <w:r>
        <w:rPr>
          <w:rFonts w:cs="Arial"/>
          <w:b/>
          <w:color w:val="000000"/>
        </w:rPr>
        <w:t>RECLAMACIÓN FORMAL</w:t>
      </w:r>
      <w:r>
        <w:rPr>
          <w:rFonts w:cs="Arial"/>
          <w:color w:val="000000"/>
        </w:rPr>
        <w:t xml:space="preserve"> por el pago de perjuicios, con fundamento en los siguiente: </w:t>
      </w:r>
      <w:r>
        <w:rPr>
          <w:rFonts w:cs="Arial"/>
        </w:rPr>
        <w:t xml:space="preserve"> </w:t>
      </w:r>
    </w:p>
    <w:p w14:paraId="1DB80511">
      <w:pPr>
        <w:spacing w:line="264" w:lineRule="auto"/>
        <w:jc w:val="both"/>
        <w:rPr>
          <w:rFonts w:cs="Arial"/>
        </w:rPr>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17FEFABC">
      <w:pPr>
        <w:pStyle w:val="17"/>
        <w:numPr>
          <w:ilvl w:val="0"/>
          <w:numId w:val="1"/>
        </w:numPr>
        <w:tabs>
          <w:tab w:val="left" w:pos="346"/>
        </w:tabs>
        <w:spacing w:line="252" w:lineRule="auto"/>
        <w:ind w:right="1029"/>
        <w:jc w:val="both"/>
        <w:rPr>
          <w:strike/>
          <w:u w:val="single"/>
        </w:rPr>
      </w:pPr>
      <w:r>
        <w:rPr>
          <w:shd w:val="clear" w:color="auto" w:fill="FFFF00"/>
        </w:rPr>
        <w:t>El XXXXX de XXXXXX de XXXX</w:t>
      </w:r>
      <w:r>
        <w:t xml:space="preserve">, el señor </w:t>
      </w:r>
      <w:r>
        <w:rPr>
          <w:rFonts w:cs="Arial"/>
          <w:b/>
          <w:bCs/>
          <w:color w:val="000000"/>
          <w:shd w:val="clear" w:color="auto" w:fill="FFFF00"/>
        </w:rPr>
        <w:t>XXXXXXXXXXXX</w:t>
      </w:r>
      <w:r>
        <w:t xml:space="preserve"> se dispuso a parquear el vehículo de placas </w:t>
      </w:r>
      <w:bookmarkStart w:id="1" w:name="_Hlk188363700"/>
      <w:r>
        <w:rPr>
          <w:b/>
          <w:bCs/>
          <w:shd w:val="clear" w:color="auto" w:fill="FFFF00"/>
        </w:rPr>
        <w:t>XXXXXX</w:t>
      </w:r>
      <w:r>
        <w:rPr>
          <w:b/>
          <w:bCs/>
        </w:rPr>
        <w:t xml:space="preserve"> </w:t>
      </w:r>
      <w:bookmarkEnd w:id="1"/>
      <w:r>
        <w:t xml:space="preserve">en </w:t>
      </w:r>
      <w:r>
        <w:rPr>
          <w:strike/>
        </w:rPr>
        <w:t xml:space="preserve">el </w:t>
      </w:r>
      <w:r>
        <w:rPr>
          <w:strike/>
          <w:u w:val="single"/>
        </w:rPr>
        <w:t>PARQUEADERO COMITE CÍVICO PIAMONTE ubicado en la TRANSVERSAL 80 F # 66 del Barrio Bosa Piamonte de la ciudad de Bogotá</w:t>
      </w:r>
    </w:p>
    <w:p w14:paraId="37AE1472">
      <w:pPr>
        <w:pStyle w:val="17"/>
        <w:tabs>
          <w:tab w:val="left" w:pos="346"/>
        </w:tabs>
        <w:spacing w:line="252" w:lineRule="auto"/>
        <w:ind w:right="1029"/>
        <w:jc w:val="both"/>
        <w:rPr>
          <w:u w:val="single"/>
        </w:rPr>
      </w:pPr>
      <w:r>
        <w:rPr>
          <w:u w:val="single"/>
        </w:rPr>
        <w:drawing>
          <wp:inline distT="0" distB="0" distL="0" distR="0">
            <wp:extent cx="3258185" cy="2190750"/>
            <wp:effectExtent l="0" t="0" r="0" b="0"/>
            <wp:docPr id="682514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14020" name="Imagen 1"/>
                    <pic:cNvPicPr>
                      <a:picLocks noChangeAspect="1"/>
                    </pic:cNvPicPr>
                  </pic:nvPicPr>
                  <pic:blipFill>
                    <a:blip r:embed="rId8"/>
                    <a:stretch>
                      <a:fillRect/>
                    </a:stretch>
                  </pic:blipFill>
                  <pic:spPr>
                    <a:xfrm>
                      <a:off x="0" y="0"/>
                      <a:ext cx="3265804" cy="2195679"/>
                    </a:xfrm>
                    <a:prstGeom prst="rect">
                      <a:avLst/>
                    </a:prstGeom>
                  </pic:spPr>
                </pic:pic>
              </a:graphicData>
            </a:graphic>
          </wp:inline>
        </w:drawing>
      </w:r>
    </w:p>
    <w:p w14:paraId="0B168200">
      <w:pPr>
        <w:pStyle w:val="17"/>
        <w:tabs>
          <w:tab w:val="left" w:pos="346"/>
        </w:tabs>
        <w:spacing w:line="252" w:lineRule="auto"/>
        <w:ind w:right="1029"/>
        <w:jc w:val="both"/>
        <w:rPr>
          <w:u w:val="single"/>
        </w:rPr>
      </w:pPr>
    </w:p>
    <w:p w14:paraId="23A91F56">
      <w:pPr>
        <w:pStyle w:val="17"/>
        <w:tabs>
          <w:tab w:val="left" w:pos="346"/>
        </w:tabs>
        <w:spacing w:line="252" w:lineRule="auto"/>
        <w:ind w:right="1029"/>
        <w:jc w:val="both"/>
        <w:rPr>
          <w:u w:val="single"/>
        </w:rPr>
      </w:pPr>
    </w:p>
    <w:p w14:paraId="40358D8C">
      <w:pPr>
        <w:pStyle w:val="17"/>
        <w:tabs>
          <w:tab w:val="left" w:pos="346"/>
        </w:tabs>
        <w:spacing w:line="252" w:lineRule="auto"/>
        <w:ind w:right="1029"/>
        <w:jc w:val="both"/>
        <w:rPr>
          <w:u w:val="single"/>
        </w:rPr>
      </w:pPr>
    </w:p>
    <w:p w14:paraId="2B446A6D">
      <w:pPr>
        <w:pStyle w:val="17"/>
        <w:numPr>
          <w:ilvl w:val="0"/>
          <w:numId w:val="1"/>
        </w:numPr>
        <w:tabs>
          <w:tab w:val="left" w:pos="346"/>
        </w:tabs>
        <w:spacing w:line="252" w:lineRule="auto"/>
        <w:ind w:right="1029"/>
        <w:jc w:val="both"/>
      </w:pPr>
      <w:r>
        <w:t xml:space="preserve">El </w:t>
      </w:r>
      <w:r>
        <w:rPr>
          <w:highlight w:val="yellow"/>
        </w:rPr>
        <w:t>XXXXX (FECHA),</w:t>
      </w:r>
      <w:r>
        <w:t xml:space="preserve"> el señor </w:t>
      </w:r>
      <w:r>
        <w:rPr>
          <w:b/>
          <w:bCs/>
          <w:highlight w:val="yellow"/>
        </w:rPr>
        <w:t>XXXXXXXXXXXXXX</w:t>
      </w:r>
      <w:r>
        <w:rPr>
          <w:b/>
          <w:bCs/>
        </w:rPr>
        <w:t xml:space="preserve"> </w:t>
      </w:r>
      <w:r>
        <w:t>se entera que su vehículo había sido hurtado, siendo parte de los hechos de la denuncia anexada al presente escrito:</w:t>
      </w:r>
    </w:p>
    <w:p w14:paraId="5F63CDAB">
      <w:pPr>
        <w:pStyle w:val="17"/>
        <w:tabs>
          <w:tab w:val="left" w:pos="346"/>
        </w:tabs>
        <w:spacing w:line="252" w:lineRule="auto"/>
        <w:ind w:left="346" w:right="1029"/>
        <w:jc w:val="both"/>
      </w:pPr>
      <w:r>
        <w:drawing>
          <wp:inline distT="0" distB="0" distL="0" distR="0">
            <wp:extent cx="5411470" cy="3684270"/>
            <wp:effectExtent l="0" t="0" r="0" b="0"/>
            <wp:docPr id="1546335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35172" name="Imagen 1"/>
                    <pic:cNvPicPr>
                      <a:picLocks noChangeAspect="1"/>
                    </pic:cNvPicPr>
                  </pic:nvPicPr>
                  <pic:blipFill>
                    <a:blip r:embed="rId9"/>
                    <a:stretch>
                      <a:fillRect/>
                    </a:stretch>
                  </pic:blipFill>
                  <pic:spPr>
                    <a:xfrm>
                      <a:off x="0" y="0"/>
                      <a:ext cx="5441435" cy="3704584"/>
                    </a:xfrm>
                    <a:prstGeom prst="rect">
                      <a:avLst/>
                    </a:prstGeom>
                  </pic:spPr>
                </pic:pic>
              </a:graphicData>
            </a:graphic>
          </wp:inline>
        </w:drawing>
      </w:r>
    </w:p>
    <w:p w14:paraId="252E06E1">
      <w:pPr>
        <w:pStyle w:val="17"/>
        <w:numPr>
          <w:ilvl w:val="0"/>
          <w:numId w:val="1"/>
        </w:numPr>
        <w:tabs>
          <w:tab w:val="left" w:pos="346"/>
        </w:tabs>
        <w:spacing w:before="126" w:line="252" w:lineRule="auto"/>
        <w:ind w:right="1029"/>
        <w:jc w:val="both"/>
      </w:pPr>
      <w:r>
        <w:t>De acuerdo a los registros videográficos, el vehículo fue hurtado de las instalaciones del parqueadero en horas de la madrugada.</w:t>
      </w:r>
    </w:p>
    <w:p w14:paraId="5EEBE5FB">
      <w:pPr>
        <w:pStyle w:val="17"/>
        <w:numPr>
          <w:ilvl w:val="0"/>
          <w:numId w:val="1"/>
        </w:numPr>
        <w:tabs>
          <w:tab w:val="left" w:pos="346"/>
        </w:tabs>
        <w:spacing w:before="126" w:line="252" w:lineRule="auto"/>
        <w:ind w:right="1029"/>
        <w:jc w:val="both"/>
      </w:pPr>
      <w:r>
        <w:t xml:space="preserve">El vehículo de placas </w:t>
      </w:r>
      <w:r>
        <w:rPr>
          <w:b/>
          <w:bCs/>
          <w:shd w:val="clear" w:color="auto" w:fill="FFFF00"/>
        </w:rPr>
        <w:t>XXXXXXXX</w:t>
      </w:r>
      <w:r>
        <w:rPr>
          <w:b/>
          <w:bCs/>
        </w:rPr>
        <w:t xml:space="preserve"> </w:t>
      </w:r>
      <w:r>
        <w:t xml:space="preserve">se encontraba asegurado al momento del hurto por la póliza de seguros </w:t>
      </w:r>
      <w:r>
        <w:rPr>
          <w:b/>
          <w:bCs/>
          <w:shd w:val="clear" w:color="auto" w:fill="FFFF00"/>
        </w:rPr>
        <w:t>XXXXXXXXXXX</w:t>
      </w:r>
      <w:r>
        <w:rPr>
          <w:b/>
          <w:bCs/>
        </w:rPr>
        <w:t xml:space="preserve"> </w:t>
      </w:r>
      <w:r>
        <w:t>expedida por Seguros Generales Suramericana.</w:t>
      </w:r>
    </w:p>
    <w:p w14:paraId="30AC2F2B">
      <w:pPr>
        <w:pStyle w:val="17"/>
        <w:numPr>
          <w:ilvl w:val="0"/>
          <w:numId w:val="1"/>
        </w:numPr>
        <w:tabs>
          <w:tab w:val="left" w:pos="346"/>
        </w:tabs>
        <w:spacing w:before="126" w:line="252" w:lineRule="auto"/>
        <w:ind w:right="1029"/>
        <w:jc w:val="both"/>
      </w:pPr>
      <w:r>
        <w:t xml:space="preserve">De conformidad con el aviso de reclamo y la documentación que soporta el siniestro, la compañía de Seguros Generales Sura S.A., afectó el amparo por hurto y se procedió a indemnizar a </w:t>
      </w:r>
      <w:r>
        <w:rPr>
          <w:rFonts w:cs="Arial"/>
          <w:b/>
          <w:bCs/>
          <w:color w:val="000000"/>
          <w:highlight w:val="yellow"/>
        </w:rPr>
        <w:t>XXXXXXXXXXXXXX</w:t>
      </w:r>
      <w:r>
        <w:rPr>
          <w:highlight w:val="yellow"/>
        </w:rPr>
        <w:t xml:space="preserve"> </w:t>
      </w:r>
      <w:r>
        <w:t xml:space="preserve">por el valor de </w:t>
      </w:r>
      <w:r>
        <w:rPr>
          <w:b/>
          <w:bCs/>
        </w:rPr>
        <w:t xml:space="preserve">$ </w:t>
      </w:r>
      <w:r>
        <w:rPr>
          <w:b/>
          <w:bCs/>
          <w:highlight w:val="yellow"/>
        </w:rPr>
        <w:t>XXXXXXXX</w:t>
      </w:r>
    </w:p>
    <w:p w14:paraId="550282EF">
      <w:pPr>
        <w:pStyle w:val="17"/>
        <w:numPr>
          <w:ilvl w:val="0"/>
          <w:numId w:val="1"/>
        </w:numPr>
        <w:tabs>
          <w:tab w:val="left" w:pos="346"/>
        </w:tabs>
        <w:spacing w:before="126" w:line="252" w:lineRule="auto"/>
        <w:ind w:right="1029"/>
        <w:jc w:val="both"/>
      </w:pPr>
      <w:r>
        <w:t xml:space="preserve">Asimismo, </w:t>
      </w:r>
      <w:r>
        <w:rPr>
          <w:rFonts w:cs="Arial"/>
          <w:b/>
          <w:bCs/>
          <w:color w:val="000000"/>
          <w:highlight w:val="yellow"/>
        </w:rPr>
        <w:t>XXXXXXXXXXXXXXXXXXXXX</w:t>
      </w:r>
      <w:r>
        <w:rPr>
          <w:rFonts w:cs="Arial"/>
          <w:color w:val="000000"/>
        </w:rPr>
        <w:t xml:space="preserve"> canceló la suma de </w:t>
      </w:r>
      <w:r>
        <w:rPr>
          <w:rFonts w:cs="Arial"/>
          <w:b/>
          <w:bCs/>
          <w:color w:val="000000"/>
        </w:rPr>
        <w:t>$</w:t>
      </w:r>
      <w:r>
        <w:rPr>
          <w:rFonts w:cs="Arial"/>
          <w:b/>
          <w:bCs/>
          <w:color w:val="000000"/>
          <w:highlight w:val="yellow"/>
        </w:rPr>
        <w:t>XXXXXXXX</w:t>
      </w:r>
      <w:r>
        <w:rPr>
          <w:rFonts w:cs="Arial"/>
          <w:color w:val="000000"/>
        </w:rPr>
        <w:t xml:space="preserve"> pesos por concepto del deducible por el amparo afectado.</w:t>
      </w:r>
    </w:p>
    <w:p w14:paraId="689A88E7">
      <w:pPr>
        <w:pStyle w:val="17"/>
        <w:numPr>
          <w:ilvl w:val="0"/>
          <w:numId w:val="1"/>
        </w:numPr>
        <w:spacing w:before="126" w:line="252" w:lineRule="auto"/>
        <w:ind w:right="1029"/>
        <w:jc w:val="both"/>
      </w:pPr>
      <w:r>
        <w:t xml:space="preserve"> En consecuencia, se presentó reclamación de responsabilidad civil ante la aseguradora </w:t>
      </w:r>
      <w:r>
        <w:rPr>
          <w:highlight w:val="yellow"/>
        </w:rPr>
        <w:t>XXXXXXXXXXXXX</w:t>
      </w:r>
      <w:r>
        <w:t xml:space="preserve"> frente al siniestro en mención, no obstante, objetan, manifestando que:</w:t>
      </w:r>
    </w:p>
    <w:p w14:paraId="43166A67">
      <w:pPr>
        <w:pStyle w:val="11"/>
        <w:spacing w:before="180"/>
      </w:pPr>
      <w:r>
        <w:rPr>
          <w:i/>
          <w:iCs/>
        </w:rPr>
        <w:drawing>
          <wp:inline distT="0" distB="0" distL="0" distR="0">
            <wp:extent cx="6670675" cy="999490"/>
            <wp:effectExtent l="0" t="0" r="0" b="0"/>
            <wp:docPr id="541019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19986" name="Imagen 1"/>
                    <pic:cNvPicPr>
                      <a:picLocks noChangeAspect="1"/>
                    </pic:cNvPicPr>
                  </pic:nvPicPr>
                  <pic:blipFill>
                    <a:blip r:embed="rId10"/>
                    <a:stretch>
                      <a:fillRect/>
                    </a:stretch>
                  </pic:blipFill>
                  <pic:spPr>
                    <a:xfrm>
                      <a:off x="0" y="0"/>
                      <a:ext cx="6670742" cy="1000083"/>
                    </a:xfrm>
                    <a:prstGeom prst="rect">
                      <a:avLst/>
                    </a:prstGeom>
                  </pic:spPr>
                </pic:pic>
              </a:graphicData>
            </a:graphic>
          </wp:inline>
        </w:drawing>
      </w:r>
    </w:p>
    <w:p w14:paraId="1F7A9525">
      <w:pPr>
        <w:pStyle w:val="11"/>
        <w:spacing w:before="1"/>
        <w:ind w:left="166"/>
        <w:jc w:val="both"/>
      </w:pPr>
    </w:p>
    <w:p w14:paraId="0D635113">
      <w:pPr>
        <w:pStyle w:val="11"/>
        <w:spacing w:before="1"/>
        <w:jc w:val="both"/>
      </w:pPr>
      <w:r>
        <w:t>Es decir que, la póliza contratada excluye dentro de su protección eventos como el hurto, estando éste fuera de su cobertura.</w:t>
      </w:r>
    </w:p>
    <w:p w14:paraId="4F7ED0F8">
      <w:pPr>
        <w:pStyle w:val="11"/>
        <w:spacing w:before="1"/>
        <w:jc w:val="both"/>
      </w:pPr>
    </w:p>
    <w:p w14:paraId="4DFCCBDB">
      <w:pPr>
        <w:pStyle w:val="11"/>
        <w:spacing w:before="1"/>
        <w:ind w:left="166"/>
        <w:jc w:val="both"/>
        <w:rPr>
          <w:spacing w:val="-2"/>
        </w:rPr>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47C69DF">
      <w:pPr>
        <w:pStyle w:val="11"/>
        <w:spacing w:before="1"/>
        <w:ind w:left="166"/>
        <w:jc w:val="both"/>
        <w:rPr>
          <w:spacing w:val="-2"/>
        </w:rPr>
      </w:pPr>
    </w:p>
    <w:p w14:paraId="0471E675">
      <w:pPr>
        <w:pStyle w:val="11"/>
        <w:spacing w:before="1"/>
        <w:ind w:left="166"/>
        <w:jc w:val="both"/>
      </w:pPr>
    </w:p>
    <w:p w14:paraId="7625739C">
      <w:pPr>
        <w:pStyle w:val="2"/>
        <w:spacing w:before="233"/>
        <w:ind w:left="3"/>
        <w:rPr>
          <w:spacing w:val="-2"/>
        </w:rPr>
      </w:pPr>
      <w:r>
        <w:rPr>
          <w:spacing w:val="-2"/>
        </w:rPr>
        <w:t>SOLICITUD</w:t>
      </w:r>
    </w:p>
    <w:p w14:paraId="74A97FAB">
      <w:pPr>
        <w:pStyle w:val="2"/>
        <w:spacing w:before="233"/>
        <w:ind w:left="3"/>
      </w:pPr>
    </w:p>
    <w:p w14:paraId="20A2C09E">
      <w:pPr>
        <w:pStyle w:val="19"/>
        <w:jc w:val="both"/>
        <w:rPr>
          <w:b/>
          <w:bCs/>
        </w:rPr>
      </w:pPr>
      <w:r>
        <w:rPr>
          <w:rFonts w:cs="Arial"/>
        </w:rPr>
        <w:t xml:space="preserve">De manera respetuosa solicitamos que el </w:t>
      </w:r>
      <w:r>
        <w:rPr>
          <w:b/>
          <w:bCs/>
          <w:shd w:val="clear" w:color="auto" w:fill="FFFF00"/>
        </w:rPr>
        <w:t>XXXXXXXXXXXXXXXXXXX</w:t>
      </w:r>
      <w:r>
        <w:rPr>
          <w:b/>
          <w:bCs/>
        </w:rPr>
        <w:t xml:space="preserve"> </w:t>
      </w:r>
      <w:r>
        <w:rPr>
          <w:rFonts w:cs="Arial"/>
        </w:rPr>
        <w:t xml:space="preserve">cancele a favor de </w:t>
      </w:r>
      <w:r>
        <w:rPr>
          <w:rFonts w:cs="Arial"/>
          <w:b/>
          <w:bCs/>
          <w:color w:val="000000"/>
          <w:highlight w:val="yellow"/>
        </w:rPr>
        <w:t>XXXXXXXXXXXXXXXXXXXX</w:t>
      </w:r>
      <w:r>
        <w:rPr>
          <w:rFonts w:cs="Arial"/>
        </w:rPr>
        <w:t xml:space="preserve"> la suma de </w:t>
      </w:r>
      <w:r>
        <w:rPr>
          <w:rFonts w:cs="Arial"/>
          <w:b/>
          <w:bCs/>
          <w:color w:val="000000"/>
        </w:rPr>
        <w:t>$</w:t>
      </w:r>
      <w:r>
        <w:rPr>
          <w:rFonts w:cs="Arial"/>
          <w:b/>
          <w:bCs/>
          <w:color w:val="000000"/>
          <w:highlight w:val="yellow"/>
        </w:rPr>
        <w:t>XXXXXXXXXXXXXX</w:t>
      </w:r>
      <w:r>
        <w:rPr>
          <w:rFonts w:cs="Arial"/>
          <w:b/>
          <w:bCs/>
          <w:color w:val="000000"/>
        </w:rPr>
        <w:t xml:space="preserve"> </w:t>
      </w:r>
      <w:r>
        <w:rPr>
          <w:rFonts w:cs="Arial"/>
          <w:b/>
          <w:bCs/>
        </w:rPr>
        <w:t xml:space="preserve">M/CTE </w:t>
      </w:r>
      <w:r>
        <w:rPr>
          <w:rFonts w:cs="Arial"/>
        </w:rPr>
        <w:t xml:space="preserve">por concepto de </w:t>
      </w:r>
      <w:r>
        <w:rPr>
          <w:rFonts w:cs="Arial"/>
          <w:b/>
          <w:bCs/>
        </w:rPr>
        <w:t>DEDUCIBLE</w:t>
      </w:r>
      <w:r>
        <w:rPr>
          <w:rFonts w:cs="Arial"/>
        </w:rPr>
        <w:t xml:space="preserve"> y cancele a favor de Seguros Generales Suramericana S.A. la suma de </w:t>
      </w:r>
      <w:r>
        <w:rPr>
          <w:b/>
          <w:bCs/>
        </w:rPr>
        <w:t xml:space="preserve">$ </w:t>
      </w:r>
      <w:r>
        <w:rPr>
          <w:b/>
          <w:bCs/>
          <w:highlight w:val="yellow"/>
        </w:rPr>
        <w:t>XXXXXXXXXX</w:t>
      </w:r>
      <w:r>
        <w:rPr>
          <w:b/>
          <w:bCs/>
        </w:rPr>
        <w:t xml:space="preserve"> </w:t>
      </w:r>
      <w:r>
        <w:rPr>
          <w:rFonts w:cs="Arial"/>
        </w:rPr>
        <w:t>en virtud de la subrogación consignada en el artículo 1096 del Código de Comercio.</w:t>
      </w:r>
    </w:p>
    <w:p w14:paraId="6FC76867">
      <w:pPr>
        <w:pStyle w:val="11"/>
        <w:spacing w:before="116"/>
      </w:pPr>
    </w:p>
    <w:p w14:paraId="4FFD1A3F">
      <w:pPr>
        <w:pStyle w:val="11"/>
        <w:spacing w:before="81"/>
        <w:jc w:val="center"/>
        <w:rPr>
          <w:b/>
          <w:bCs/>
        </w:rPr>
      </w:pPr>
      <w:r>
        <w:rPr>
          <w:b/>
          <w:bCs/>
        </w:rPr>
        <w:t>FUNDAMENTOS DE DERECHO</w:t>
      </w:r>
    </w:p>
    <w:p w14:paraId="3BE4D334">
      <w:pPr>
        <w:pStyle w:val="11"/>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1"/>
        <w:spacing w:before="81"/>
      </w:pPr>
    </w:p>
    <w:p w14:paraId="670C241C">
      <w:pPr>
        <w:pStyle w:val="11"/>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6"/>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1"/>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6"/>
        </w:rPr>
        <w:footnoteReference w:id="1"/>
      </w:r>
    </w:p>
    <w:p w14:paraId="5F73C4BF">
      <w:pPr>
        <w:pStyle w:val="11"/>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1"/>
        <w:spacing w:before="233"/>
        <w:jc w:val="both"/>
      </w:pPr>
    </w:p>
    <w:p w14:paraId="774FB397">
      <w:pPr>
        <w:pStyle w:val="19"/>
        <w:ind w:left="708"/>
        <w:jc w:val="both"/>
      </w:pPr>
      <w:r>
        <w:rPr>
          <w:b/>
          <w:bCs/>
        </w:rPr>
        <w:t>a.</w:t>
      </w:r>
      <w:r>
        <w:t xml:space="preserve"> Existe un contrato de seguro de autos soportado mediante la póliza </w:t>
      </w:r>
      <w:r>
        <w:rPr>
          <w:b/>
          <w:bCs/>
          <w:shd w:val="clear" w:color="auto" w:fill="FFFF00"/>
        </w:rPr>
        <w:t>XXXXXXXXXX</w:t>
      </w:r>
      <w:r>
        <w:t>.</w:t>
      </w:r>
    </w:p>
    <w:p w14:paraId="47A9B0C0">
      <w:pPr>
        <w:pStyle w:val="19"/>
        <w:ind w:left="708"/>
        <w:jc w:val="both"/>
      </w:pPr>
      <w:r>
        <w:rPr>
          <w:b/>
          <w:bCs/>
        </w:rPr>
        <w:t>b.</w:t>
      </w:r>
      <w:r>
        <w:t xml:space="preserve"> Se produjo un siniestro traducido en el HURTO del vehículo de placas </w:t>
      </w:r>
      <w:r>
        <w:rPr>
          <w:b/>
          <w:bCs/>
          <w:shd w:val="clear" w:color="auto" w:fill="FFFF00"/>
        </w:rPr>
        <w:t>XXXXXXXXXX</w:t>
      </w:r>
      <w:r>
        <w:rPr>
          <w:b/>
          <w:bCs/>
        </w:rPr>
        <w:t xml:space="preserve"> </w:t>
      </w:r>
      <w:r>
        <w:t xml:space="preserve">en el cual ha sido atribuida la responsabilidad al parqueadero de </w:t>
      </w:r>
      <w:r>
        <w:rPr>
          <w:shd w:val="clear" w:color="auto" w:fill="FFFF00"/>
        </w:rPr>
        <w:t>XXXXXXXXXXXXXX</w:t>
      </w:r>
      <w:r>
        <w:t xml:space="preserve"> ubicado en la </w:t>
      </w:r>
      <w:r>
        <w:rPr>
          <w:shd w:val="clear" w:color="auto" w:fill="FFFF00"/>
        </w:rPr>
        <w:t>XXXXXXXXXXXXXXXX</w:t>
      </w:r>
      <w:r>
        <w:t xml:space="preserve"> de la ciudad de </w:t>
      </w:r>
      <w:r>
        <w:rPr>
          <w:shd w:val="clear" w:color="auto" w:fill="FFFF00"/>
        </w:rPr>
        <w:t>XXXXXXXXXXXX</w:t>
      </w:r>
    </w:p>
    <w:p w14:paraId="01386ED8">
      <w:pPr>
        <w:pStyle w:val="19"/>
        <w:ind w:left="708"/>
        <w:jc w:val="both"/>
      </w:pPr>
      <w:r>
        <w:rPr>
          <w:b/>
          <w:bCs/>
        </w:rPr>
        <w:t>c.</w:t>
      </w:r>
      <w:r>
        <w:t xml:space="preserve"> Seguros Generales Sura S.A. canceló el valor de la indemnización del vehículo de placas </w:t>
      </w:r>
      <w:r>
        <w:rPr>
          <w:b/>
          <w:bCs/>
        </w:rPr>
        <w:t>NNV030</w:t>
      </w:r>
      <w:r>
        <w:t>.</w:t>
      </w:r>
    </w:p>
    <w:p w14:paraId="6D00FD4D">
      <w:pPr>
        <w:pStyle w:val="11"/>
        <w:spacing w:before="233"/>
      </w:pPr>
    </w:p>
    <w:p w14:paraId="6394D4D1">
      <w:pPr>
        <w:pStyle w:val="11"/>
        <w:spacing w:before="233"/>
      </w:pPr>
    </w:p>
    <w:p w14:paraId="5FB544E5">
      <w:pPr>
        <w:tabs>
          <w:tab w:val="left" w:pos="9487"/>
        </w:tabs>
        <w:ind w:left="135"/>
        <w:rPr>
          <w:b/>
          <w:i/>
        </w:rPr>
      </w:pPr>
      <w:r>
        <w:rPr>
          <w:b/>
          <w:bCs/>
          <w:i/>
          <w:color w:val="000000"/>
          <w:spacing w:val="-2"/>
          <w:shd w:val="clear" w:color="auto" w:fill="D0CECE"/>
        </w:rPr>
        <w:t>La Responsabilidad de los parqueaderos</w:t>
      </w:r>
    </w:p>
    <w:p w14:paraId="4820DF68">
      <w:pPr>
        <w:pStyle w:val="11"/>
        <w:spacing w:before="233"/>
        <w:jc w:val="both"/>
        <w:rPr>
          <w:lang w:val="es-CO"/>
        </w:rPr>
      </w:pPr>
      <w:r>
        <w:rPr>
          <w:lang w:val="es-CO"/>
        </w:rPr>
        <w:t>El Artículo 2236 del Código Civil indica que: llámase en general depósito el contrato en que se confía una cosa corporal a una persona que se encarga de guardarla y de restituir en especie, tal como sucede en el servicio de parqueadero.</w:t>
      </w:r>
    </w:p>
    <w:p w14:paraId="302766EF">
      <w:pPr>
        <w:pStyle w:val="11"/>
        <w:spacing w:before="233"/>
        <w:jc w:val="both"/>
        <w:rPr>
          <w:lang w:val="es-CO"/>
        </w:rPr>
      </w:pPr>
      <w:r>
        <w:rPr>
          <w:lang w:val="es-CO"/>
        </w:rPr>
        <w:t>A su vez el artículo 18 Ley 1480 de 2011 indica que cuando se exija la entrega de un bien respecto del cual se desarrollará una prestación de servicios, estará sometido a las siguientes reglas:</w:t>
      </w:r>
    </w:p>
    <w:p w14:paraId="72A4A39B">
      <w:pPr>
        <w:pStyle w:val="11"/>
        <w:spacing w:before="233"/>
        <w:jc w:val="both"/>
        <w:rPr>
          <w:i/>
          <w:iCs/>
          <w:lang w:val="es-CO"/>
        </w:rPr>
      </w:pPr>
      <w:r>
        <w:rPr>
          <w:i/>
          <w:iCs/>
          <w:lang w:val="es-CO"/>
        </w:rPr>
        <w:t>“…</w:t>
      </w:r>
    </w:p>
    <w:p w14:paraId="312567C5">
      <w:pPr>
        <w:pStyle w:val="11"/>
        <w:spacing w:before="233"/>
        <w:jc w:val="both"/>
        <w:rPr>
          <w:i/>
          <w:iCs/>
          <w:lang w:val="es-CO"/>
        </w:rPr>
      </w:pPr>
      <w:r>
        <w:rPr>
          <w:i/>
          <w:iCs/>
          <w:lang w:val="es-CO"/>
        </w:rPr>
        <w:t>Quien preste el servicio asume la custodia y conservación adecuada del bien y, por lo tanto, de la integridad de los elementos que lo componen, así como la de sus equipos anexos o complementarios, si los tuviere.…”</w:t>
      </w:r>
    </w:p>
    <w:p w14:paraId="030AD127">
      <w:pPr>
        <w:pStyle w:val="11"/>
        <w:spacing w:before="233"/>
        <w:jc w:val="both"/>
        <w:rPr>
          <w:i/>
          <w:iCs/>
          <w:lang w:val="es-CO"/>
        </w:rPr>
      </w:pPr>
      <w:r>
        <w:rPr>
          <w:i/>
          <w:iCs/>
          <w:lang w:val="es-CO"/>
        </w:rPr>
        <w:t>Por su parte, La Corte Suprema de Justicia - Sala de Casación Civil en Sentencia SC (02- 09 1985) del 2 de septiembre de 1985 Magistrado ponente: doctor Humberto Murcia Ballén, indico:</w:t>
      </w:r>
    </w:p>
    <w:p w14:paraId="51067DD0">
      <w:pPr>
        <w:pStyle w:val="11"/>
        <w:spacing w:before="233"/>
        <w:jc w:val="both"/>
        <w:rPr>
          <w:i/>
          <w:iCs/>
          <w:lang w:val="es-CO"/>
        </w:rPr>
      </w:pPr>
      <w:r>
        <w:rPr>
          <w:i/>
          <w:iCs/>
          <w:lang w:val="es-CO"/>
        </w:rPr>
        <w:t>“…</w:t>
      </w:r>
    </w:p>
    <w:p w14:paraId="01157AB2">
      <w:pPr>
        <w:pStyle w:val="11"/>
        <w:spacing w:before="233"/>
        <w:jc w:val="both"/>
        <w:rPr>
          <w:i/>
          <w:iCs/>
          <w:lang w:val="es-CO"/>
        </w:rPr>
      </w:pPr>
      <w:r>
        <w:rPr>
          <w:i/>
          <w:iCs/>
          <w:lang w:val="es-CO"/>
        </w:rPr>
        <w:t>Ha querido el legislador darle grande importancia a la obligación de restitución que tiene el depositario frente al depositante, que la regula ampliamente, todo en aras de la confianza que inspira el depósito; por ello la establece "a voluntad del depositante" (Art. 2251); y que el depositario no puede retener la cosa, a título de compensación, salvo cuando el depositante le debe expensas necesarias para su conservación, o los perjuicios que se le hayan causado (Art. 2258 y 2259). Si este es el predicado que según la normación positiva se infiere en torno a la obligación principal de restituir, dístico semejante, por fuerza de la lógica, tiene que formularse en cuanto a la pretensión indemnizatoria de perjuicios que se deriva justa y precisamente del incumplimiento de ese específico deber. …”</w:t>
      </w:r>
    </w:p>
    <w:p w14:paraId="7D10B00A">
      <w:pPr>
        <w:pStyle w:val="11"/>
        <w:spacing w:before="233"/>
        <w:jc w:val="both"/>
        <w:rPr>
          <w:i/>
          <w:iCs/>
          <w:lang w:val="es-CO"/>
        </w:rPr>
      </w:pPr>
    </w:p>
    <w:p w14:paraId="36F28DBD">
      <w:pPr>
        <w:pStyle w:val="11"/>
        <w:spacing w:before="233"/>
        <w:jc w:val="both"/>
        <w:rPr>
          <w:i/>
          <w:iCs/>
          <w:lang w:val="es-CO"/>
        </w:rPr>
      </w:pPr>
    </w:p>
    <w:p w14:paraId="6E4149AB">
      <w:pPr>
        <w:pStyle w:val="11"/>
        <w:spacing w:before="233"/>
        <w:jc w:val="both"/>
        <w:rPr>
          <w:i/>
          <w:iCs/>
          <w:lang w:val="es-CO"/>
        </w:rPr>
      </w:pPr>
    </w:p>
    <w:p w14:paraId="7D57E5FD">
      <w:pPr>
        <w:pStyle w:val="11"/>
        <w:spacing w:before="233"/>
        <w:jc w:val="both"/>
        <w:rPr>
          <w:i/>
          <w:iCs/>
          <w:lang w:val="es-CO"/>
        </w:rPr>
      </w:pPr>
    </w:p>
    <w:p w14:paraId="3FE66F7A">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del parqueadero PARQUEADERO COMITE CÍVICO PIAMONTE</w:t>
      </w:r>
      <w:r>
        <w:rPr>
          <w:b/>
          <w:i/>
          <w:color w:val="000000"/>
          <w:shd w:val="clear" w:color="auto" w:fill="D0CECE"/>
        </w:rPr>
        <w:tab/>
      </w:r>
    </w:p>
    <w:p w14:paraId="064F7D41">
      <w:pPr>
        <w:pStyle w:val="11"/>
        <w:spacing w:before="5"/>
        <w:rPr>
          <w:b/>
          <w:i/>
        </w:rPr>
      </w:pPr>
    </w:p>
    <w:p w14:paraId="3284E99A">
      <w:pPr>
        <w:pStyle w:val="19"/>
        <w:jc w:val="both"/>
      </w:pPr>
      <w:r>
        <w:t xml:space="preserve">En este caso el </w:t>
      </w:r>
      <w:r>
        <w:rPr>
          <w:b/>
          <w:bCs/>
          <w:u w:val="single"/>
        </w:rPr>
        <w:t>PARQUEADERO COMITE CÍVICO PIAMONTE</w:t>
      </w:r>
      <w:r>
        <w:rPr>
          <w:u w:val="single"/>
        </w:rPr>
        <w:t xml:space="preserve"> </w:t>
      </w:r>
      <w:r>
        <w:t>se encontraba con la custodia del vehículo placas NNV030 en el parqueadero a cargo del DEPARTAMENTO ADMINISTRATIVO DE LA DEFENSORÍA DEL ESPACIO PÚBLICO – ALCALDIA MAYOR DE BOGOTA D.C. Por ello, y de acuerdo a la disposición normativa que recalca quienes prestan servicios que suponen la entrega del bien están obligados a devolver la cosa en el estado en el que les fue entregada o en su defecto repararla o sustituirlo:</w:t>
      </w:r>
    </w:p>
    <w:p w14:paraId="30027B42">
      <w:pPr>
        <w:jc w:val="both"/>
      </w:pPr>
    </w:p>
    <w:p w14:paraId="6A3F634C"/>
    <w:p w14:paraId="1CD15006">
      <w:pPr>
        <w:rPr>
          <w:b/>
          <w:bCs/>
        </w:rPr>
      </w:pPr>
      <w:r>
        <w:rPr>
          <w:b/>
          <w:bCs/>
        </w:rPr>
        <w:t>Ley 1480 de 2011, Artículo 11. Aspectos incluidos en la garantía legal. Corresponden a la garantía legal las siguientes obligaciones: (…)</w:t>
      </w:r>
    </w:p>
    <w:p w14:paraId="24F7C1DC">
      <w:pPr>
        <w:rPr>
          <w:b/>
          <w:bCs/>
        </w:rPr>
      </w:pPr>
    </w:p>
    <w:p w14:paraId="4FD4D9EE">
      <w:pPr>
        <w:ind w:left="708"/>
        <w:jc w:val="both"/>
        <w:rPr>
          <w:i/>
          <w:iCs/>
        </w:rPr>
      </w:pPr>
      <w:r>
        <w:rPr>
          <w:i/>
          <w:iCs/>
        </w:rPr>
        <w:t>9. En los casos de prestación de servicios que suponen la entrega de un bien, repararlo, sustituirlo por otro de las mismas características, o pagar su equivalente en dinero en caso de destrucción parcial o total causada con ocasión del servicio defectuoso. Para los efectos de este numeral, el valor del bien se determinará según sus características, estado y uso. (…)”</w:t>
      </w:r>
    </w:p>
    <w:p w14:paraId="33B96477">
      <w:pPr>
        <w:tabs>
          <w:tab w:val="left" w:pos="5025"/>
        </w:tabs>
        <w:jc w:val="both"/>
        <w:rPr>
          <w:i/>
          <w:iCs/>
        </w:rPr>
      </w:pPr>
      <w:r>
        <w:rPr>
          <w:i/>
          <w:iCs/>
        </w:rPr>
        <w:tab/>
      </w:r>
    </w:p>
    <w:p w14:paraId="6A4FFD5F">
      <w:pPr>
        <w:tabs>
          <w:tab w:val="left" w:pos="5025"/>
        </w:tabs>
        <w:jc w:val="both"/>
        <w:rPr>
          <w:i/>
          <w:iCs/>
        </w:rPr>
      </w:pPr>
    </w:p>
    <w:p w14:paraId="19B8250B">
      <w:pPr>
        <w:jc w:val="both"/>
      </w:pPr>
      <w:r>
        <w:t>En merito de lo expuesto y en atención a la documentación aportada que evidencia con diáfana claridad los hechos, solicitamos resolver favorablemente la solicitud previamente señalada.</w:t>
      </w:r>
    </w:p>
    <w:p w14:paraId="266A2C4F">
      <w:pPr>
        <w:jc w:val="both"/>
      </w:pPr>
      <w:r>
        <w:t>.</w:t>
      </w:r>
    </w:p>
    <w:p w14:paraId="7A09DEB8">
      <w:pPr>
        <w:jc w:val="both"/>
      </w:pPr>
    </w:p>
    <w:p w14:paraId="67538A80">
      <w:pPr>
        <w:jc w:val="center"/>
        <w:rPr>
          <w:b/>
          <w:bCs/>
        </w:rPr>
      </w:pPr>
      <w:r>
        <w:rPr>
          <w:b/>
          <w:bCs/>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1"/>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"mailto:jesilva@btllegalgroup.com" </w:instrText>
      </w:r>
      <w:r>
        <w:fldChar w:fldCharType="separate"/>
      </w:r>
      <w:r>
        <w:rPr>
          <w:rStyle w:val="7"/>
        </w:rPr>
        <w:t>jesilva@btllegalgroup.com</w:t>
      </w:r>
      <w:r>
        <w:rPr>
          <w:rStyle w:val="7"/>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rPr>
      </w:pPr>
      <w:r>
        <w:rPr>
          <w:b/>
          <w:spacing w:val="-2"/>
        </w:rPr>
        <w:t>ANEXOS</w:t>
      </w:r>
    </w:p>
    <w:p w14:paraId="11A2C3F1">
      <w:pPr>
        <w:pStyle w:val="17"/>
        <w:numPr>
          <w:ilvl w:val="0"/>
          <w:numId w:val="2"/>
        </w:numPr>
        <w:rPr>
          <w:bCs/>
        </w:rPr>
      </w:pPr>
      <w:r>
        <w:rPr>
          <w:bCs/>
        </w:rPr>
        <w:t xml:space="preserve">Aviso de siniestro de póliza </w:t>
      </w:r>
      <w:r>
        <w:rPr>
          <w:b/>
          <w:bCs/>
          <w:shd w:val="clear" w:color="auto" w:fill="FFFF00"/>
        </w:rPr>
        <w:t>XXXXXXXXXXXXX</w:t>
      </w:r>
      <w:r>
        <w:rPr>
          <w:b/>
          <w:bCs/>
        </w:rPr>
        <w:t xml:space="preserve"> </w:t>
      </w:r>
      <w:r>
        <w:rPr>
          <w:bCs/>
        </w:rPr>
        <w:t>expedida por Seguros Generales Sura S.A.</w:t>
      </w:r>
    </w:p>
    <w:p w14:paraId="4DCAC4B3">
      <w:pPr>
        <w:pStyle w:val="11"/>
        <w:numPr>
          <w:ilvl w:val="0"/>
          <w:numId w:val="2"/>
        </w:numPr>
        <w:spacing w:before="192"/>
        <w:rPr>
          <w:bCs/>
        </w:rPr>
      </w:pPr>
      <w:r>
        <w:rPr>
          <w:bCs/>
        </w:rPr>
        <w:t xml:space="preserve">Factura de pago de deducible del vehículo </w:t>
      </w:r>
      <w:r>
        <w:rPr>
          <w:b/>
          <w:bCs/>
          <w:shd w:val="clear" w:color="auto" w:fill="FFFF00"/>
        </w:rPr>
        <w:t>XXXXXXXXXXX</w:t>
      </w:r>
      <w:r>
        <w:rPr>
          <w:b/>
          <w:bCs/>
        </w:rPr>
        <w:t xml:space="preserve"> </w:t>
      </w:r>
      <w:r>
        <w:t xml:space="preserve">asumido por </w:t>
      </w:r>
      <w:r>
        <w:rPr>
          <w:b/>
          <w:bCs/>
          <w:shd w:val="clear" w:color="auto" w:fill="FFFF00"/>
        </w:rPr>
        <w:t>XXXXXXXXXXXXXXXX</w:t>
      </w:r>
    </w:p>
    <w:p w14:paraId="3A2A6ADF">
      <w:pPr>
        <w:pStyle w:val="11"/>
        <w:numPr>
          <w:ilvl w:val="0"/>
          <w:numId w:val="2"/>
        </w:numPr>
        <w:spacing w:before="192"/>
        <w:rPr>
          <w:bCs/>
        </w:rPr>
      </w:pPr>
      <w:r>
        <w:rPr>
          <w:bCs/>
        </w:rPr>
        <w:t xml:space="preserve">Poder de asegurado autorizando reclamación del deducible. </w:t>
      </w:r>
    </w:p>
    <w:p w14:paraId="0852C14F">
      <w:pPr>
        <w:pStyle w:val="11"/>
        <w:numPr>
          <w:ilvl w:val="0"/>
          <w:numId w:val="2"/>
        </w:numPr>
        <w:spacing w:before="192"/>
        <w:rPr>
          <w:bCs/>
        </w:rPr>
      </w:pPr>
      <w:r>
        <w:rPr>
          <w:bCs/>
        </w:rPr>
        <w:t>Copia de documento de identidad de asegurado por Seguros generales Sura</w:t>
      </w:r>
    </w:p>
    <w:p w14:paraId="69CEB46F">
      <w:pPr>
        <w:pStyle w:val="11"/>
        <w:numPr>
          <w:ilvl w:val="0"/>
          <w:numId w:val="2"/>
        </w:numPr>
        <w:spacing w:before="192"/>
        <w:rPr>
          <w:bCs/>
        </w:rPr>
      </w:pPr>
      <w:r>
        <w:rPr>
          <w:bCs/>
        </w:rPr>
        <w:t xml:space="preserve">Certificación bancaria de </w:t>
      </w:r>
      <w:r>
        <w:rPr>
          <w:rFonts w:cs="Arial"/>
          <w:b/>
          <w:bCs/>
          <w:color w:val="000000"/>
          <w:shd w:val="clear" w:color="auto" w:fill="FFFF00"/>
        </w:rPr>
        <w:t>XXXXXXXXXXXXXX</w:t>
      </w:r>
    </w:p>
    <w:p w14:paraId="39ED0421">
      <w:pPr>
        <w:pStyle w:val="11"/>
        <w:numPr>
          <w:ilvl w:val="0"/>
          <w:numId w:val="2"/>
        </w:numPr>
        <w:spacing w:before="192"/>
        <w:rPr>
          <w:bCs/>
        </w:rPr>
      </w:pPr>
      <w:r>
        <w:rPr>
          <w:bCs/>
        </w:rPr>
        <w:t>Registro fotográfico dispuesto en el Artículo 16 de la Ley 2251 del 2022 / IPAT.</w:t>
      </w:r>
    </w:p>
    <w:p w14:paraId="54C43EDA">
      <w:pPr>
        <w:pStyle w:val="11"/>
        <w:numPr>
          <w:ilvl w:val="0"/>
          <w:numId w:val="2"/>
        </w:numPr>
        <w:spacing w:before="192"/>
        <w:rPr>
          <w:bCs/>
        </w:rPr>
      </w:pPr>
      <w:r>
        <w:rPr>
          <w:bCs/>
        </w:rPr>
        <w:t>Constancia de pago y factura de daños materiales del vehículo asegurado por Sura S.A.</w:t>
      </w:r>
    </w:p>
    <w:p w14:paraId="07AC1B5F">
      <w:pPr>
        <w:pStyle w:val="11"/>
        <w:numPr>
          <w:ilvl w:val="0"/>
          <w:numId w:val="2"/>
        </w:numPr>
        <w:spacing w:before="192"/>
        <w:rPr>
          <w:bCs/>
        </w:rPr>
      </w:pPr>
      <w:r>
        <w:rPr>
          <w:bCs/>
        </w:rPr>
        <w:t>Copia simple de la Escritura Pública No. 392 del 12 de abril de 2016, a través del cual se otorga la representación legal general al suscrito.</w:t>
      </w:r>
    </w:p>
    <w:p w14:paraId="7301B664">
      <w:pPr>
        <w:pStyle w:val="11"/>
        <w:numPr>
          <w:ilvl w:val="0"/>
          <w:numId w:val="2"/>
        </w:numPr>
        <w:spacing w:before="192"/>
        <w:rPr>
          <w:bCs/>
        </w:rPr>
      </w:pPr>
      <w:r>
        <w:rPr>
          <w:bCs/>
        </w:rPr>
        <w:t xml:space="preserve"> Copia de objeción por parte de la aseguradora.</w:t>
      </w:r>
    </w:p>
    <w:p w14:paraId="23BF08ED">
      <w:pPr>
        <w:pStyle w:val="11"/>
        <w:rPr>
          <w:b/>
        </w:rPr>
      </w:pPr>
    </w:p>
    <w:p w14:paraId="72C62378">
      <w:pPr>
        <w:pStyle w:val="11"/>
        <w:rPr>
          <w:b/>
        </w:rPr>
      </w:pPr>
    </w:p>
    <w:p w14:paraId="65B991E5">
      <w:pPr>
        <w:spacing w:line="276" w:lineRule="auto"/>
        <w:jc w:val="both"/>
        <w:rPr>
          <w:rFonts w:ascii="Century Gothic" w:hAnsi="Century Gothic" w:cs="Arial"/>
          <w:sz w:val="21"/>
          <w:szCs w:val="21"/>
        </w:rPr>
      </w:pPr>
      <w:r>
        <w:rPr>
          <w:rFonts w:ascii="Century Gothic" w:hAnsi="Century Gothic" w:cs="Arial"/>
          <w:sz w:val="21"/>
          <w:szCs w:val="21"/>
        </w:rPr>
        <w:t>Con el acostumbrado respeto,</w:t>
      </w:r>
    </w:p>
    <w:p w14:paraId="1B1EFD1F">
      <w:pPr>
        <w:spacing w:line="276" w:lineRule="auto"/>
        <w:jc w:val="both"/>
        <w:rPr>
          <w:rFonts w:ascii="Century Gothic" w:hAnsi="Century Gothic" w:cs="Arial"/>
          <w:sz w:val="20"/>
          <w:szCs w:val="20"/>
        </w:rPr>
      </w:pPr>
      <w:r>
        <w:rPr>
          <w:rFonts w:ascii="Century Gothic" w:hAnsi="Century Gothic" w:cs="Arial"/>
          <w:sz w:val="20"/>
          <w:szCs w:val="20"/>
        </w:rPr>
        <w:drawing>
          <wp:inline distT="0" distB="0" distL="0" distR="0">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8878" name="Imagen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54480" cy="647700"/>
                    </a:xfrm>
                    <a:prstGeom prst="rect">
                      <a:avLst/>
                    </a:prstGeom>
                    <a:noFill/>
                    <a:ln>
                      <a:noFill/>
                    </a:ln>
                  </pic:spPr>
                </pic:pic>
              </a:graphicData>
            </a:graphic>
          </wp:inline>
        </w:drawing>
      </w:r>
      <w:r>
        <w:rPr>
          <w:rFonts w:ascii="Century Gothic" w:hAnsi="Century Gothic" w:cs="Arial"/>
          <w:sz w:val="20"/>
          <w:szCs w:val="20"/>
        </w:rPr>
        <w:t xml:space="preserve">                                               </w:t>
      </w:r>
      <w:r>
        <w:rPr>
          <w:rFonts w:ascii="Century Gothic" w:hAnsi="Century Gothic" w:cs="Arial"/>
          <w:sz w:val="20"/>
          <w:szCs w:val="20"/>
        </w:rPr>
        <w:drawing>
          <wp:inline distT="0" distB="0" distL="0" distR="0">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157"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06880" cy="1013460"/>
                    </a:xfrm>
                    <a:prstGeom prst="rect">
                      <a:avLst/>
                    </a:prstGeom>
                    <a:noFill/>
                    <a:ln>
                      <a:noFill/>
                    </a:ln>
                  </pic:spPr>
                </pic:pic>
              </a:graphicData>
            </a:graphic>
          </wp:inline>
        </w:drawing>
      </w:r>
    </w:p>
    <w:p w14:paraId="0EE15C91">
      <w:pPr>
        <w:spacing w:line="276" w:lineRule="auto"/>
        <w:jc w:val="both"/>
        <w:rPr>
          <w:rFonts w:ascii="Century Gothic" w:hAnsi="Century Gothic" w:cs="Arial"/>
          <w:b/>
          <w:sz w:val="20"/>
          <w:szCs w:val="20"/>
        </w:rPr>
      </w:pPr>
      <w:r>
        <w:rPr>
          <w:rFonts w:ascii="Century Gothic" w:hAnsi="Century Gothic" w:cs="Arial"/>
          <w:b/>
          <w:bCs/>
          <w:sz w:val="20"/>
          <w:szCs w:val="20"/>
        </w:rPr>
        <w:t xml:space="preserve">LINA MARIA BENITEZ FREYRE                                                </w:t>
      </w:r>
      <w:r>
        <w:rPr>
          <w:rFonts w:ascii="Century Gothic" w:hAnsi="Century Gothic" w:cs="Arial"/>
          <w:b/>
          <w:sz w:val="20"/>
          <w:szCs w:val="20"/>
        </w:rPr>
        <w:t>JORGE ARMANDO LASSO DUQUE</w:t>
      </w:r>
    </w:p>
    <w:p w14:paraId="76A8D308">
      <w:pPr>
        <w:jc w:val="both"/>
      </w:pPr>
      <w:r>
        <w:rPr>
          <w:rFonts w:ascii="Century Gothic" w:hAnsi="Century Gothic" w:cs="Arial"/>
          <w:snapToGrid w:val="0"/>
          <w:sz w:val="20"/>
          <w:szCs w:val="20"/>
        </w:rPr>
        <w:t xml:space="preserve">C.C. </w:t>
      </w:r>
      <w:r>
        <w:rPr>
          <w:rFonts w:ascii="Century Gothic" w:hAnsi="Century Gothic" w:cs="Arial"/>
          <w:sz w:val="20"/>
          <w:szCs w:val="20"/>
        </w:rPr>
        <w:t xml:space="preserve">1.130.638.193                                                                </w:t>
      </w:r>
      <w:r>
        <w:rPr>
          <w:rFonts w:ascii="Century Gothic" w:hAnsi="Century Gothic" w:eastAsia="Calibri" w:cs="Arial"/>
          <w:color w:val="000000"/>
          <w:sz w:val="20"/>
          <w:szCs w:val="20"/>
        </w:rPr>
        <w:t>C.C. 1.118.285.299</w:t>
      </w:r>
    </w:p>
    <w:p w14:paraId="68225AC4"/>
    <w:p w14:paraId="7F786E77"/>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10"/>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14:paraId="677DA108">
      <w:pPr>
        <w:pStyle w:val="8"/>
        <w:rPr>
          <w:lang w:val="es-CO"/>
        </w:rPr>
      </w:pPr>
      <w:r>
        <w:rPr>
          <w:rStyle w:val="6"/>
        </w:rPr>
        <w:footnoteRef/>
      </w:r>
      <w:r>
        <w:t xml:space="preserve"> Código Comercial Colombiano (CCo) Decreto 410 de 1971. Artículo 1096. Marzo 27 de 1971 (Colombia).</w:t>
      </w:r>
    </w:p>
  </w:footnote>
  <w:footnote w:id="1">
    <w:p w14:paraId="09CF48B6">
      <w:pPr>
        <w:pStyle w:val="8"/>
        <w:rPr>
          <w:lang w:val="es-CO"/>
        </w:rPr>
      </w:pPr>
      <w:r>
        <w:rPr>
          <w:rStyle w:val="6"/>
        </w:rPr>
        <w:footnoteRef/>
      </w:r>
      <w:r>
        <w:t xml:space="preserve"> Corte Suprema de Justicia. Sala de Casación Civil. Sentencia SC 003-2015. (M. P. Jesús Vall de Rutén; 14 de enero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9"/>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67065"/>
    <w:multiLevelType w:val="multilevel"/>
    <w:tmpl w:val="57967065"/>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6A21DA"/>
    <w:multiLevelType w:val="multilevel"/>
    <w:tmpl w:val="796A21DA"/>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500EE"/>
    <w:rsid w:val="00067807"/>
    <w:rsid w:val="000D16CE"/>
    <w:rsid w:val="00103141"/>
    <w:rsid w:val="00107000"/>
    <w:rsid w:val="001228CA"/>
    <w:rsid w:val="00127612"/>
    <w:rsid w:val="00130765"/>
    <w:rsid w:val="00161C71"/>
    <w:rsid w:val="00164407"/>
    <w:rsid w:val="001E1BC6"/>
    <w:rsid w:val="001F48C3"/>
    <w:rsid w:val="0022495D"/>
    <w:rsid w:val="00254F3B"/>
    <w:rsid w:val="00262CA3"/>
    <w:rsid w:val="002A5216"/>
    <w:rsid w:val="00330698"/>
    <w:rsid w:val="00331130"/>
    <w:rsid w:val="00332B94"/>
    <w:rsid w:val="00335E59"/>
    <w:rsid w:val="0033721B"/>
    <w:rsid w:val="003526A4"/>
    <w:rsid w:val="00365146"/>
    <w:rsid w:val="00370647"/>
    <w:rsid w:val="003A14DC"/>
    <w:rsid w:val="003A7169"/>
    <w:rsid w:val="003C6033"/>
    <w:rsid w:val="00452C45"/>
    <w:rsid w:val="00465F5A"/>
    <w:rsid w:val="004976DA"/>
    <w:rsid w:val="004D2B07"/>
    <w:rsid w:val="004E3F85"/>
    <w:rsid w:val="004F6000"/>
    <w:rsid w:val="00506435"/>
    <w:rsid w:val="00521C89"/>
    <w:rsid w:val="0053732F"/>
    <w:rsid w:val="005501BC"/>
    <w:rsid w:val="00557827"/>
    <w:rsid w:val="00581C75"/>
    <w:rsid w:val="00587642"/>
    <w:rsid w:val="005F30D8"/>
    <w:rsid w:val="005F69A5"/>
    <w:rsid w:val="00634A44"/>
    <w:rsid w:val="00667262"/>
    <w:rsid w:val="00670B72"/>
    <w:rsid w:val="00670C6A"/>
    <w:rsid w:val="006B0520"/>
    <w:rsid w:val="006C1F93"/>
    <w:rsid w:val="00727978"/>
    <w:rsid w:val="007606EA"/>
    <w:rsid w:val="00765248"/>
    <w:rsid w:val="00772ADD"/>
    <w:rsid w:val="007A1F25"/>
    <w:rsid w:val="007D2EB9"/>
    <w:rsid w:val="007D52AD"/>
    <w:rsid w:val="007E0378"/>
    <w:rsid w:val="007F2B3A"/>
    <w:rsid w:val="0082605B"/>
    <w:rsid w:val="00856BEA"/>
    <w:rsid w:val="00865A40"/>
    <w:rsid w:val="008804FD"/>
    <w:rsid w:val="008B53FC"/>
    <w:rsid w:val="00912532"/>
    <w:rsid w:val="009428B5"/>
    <w:rsid w:val="009804D6"/>
    <w:rsid w:val="009E5453"/>
    <w:rsid w:val="00A432F2"/>
    <w:rsid w:val="00A73F3A"/>
    <w:rsid w:val="00A75BD3"/>
    <w:rsid w:val="00AE6DCA"/>
    <w:rsid w:val="00B50F7F"/>
    <w:rsid w:val="00B67449"/>
    <w:rsid w:val="00BC1397"/>
    <w:rsid w:val="00BF778A"/>
    <w:rsid w:val="00C039C7"/>
    <w:rsid w:val="00C100A3"/>
    <w:rsid w:val="00C22655"/>
    <w:rsid w:val="00C650BB"/>
    <w:rsid w:val="00C73B73"/>
    <w:rsid w:val="00C94406"/>
    <w:rsid w:val="00CD7F2A"/>
    <w:rsid w:val="00D04337"/>
    <w:rsid w:val="00D25B60"/>
    <w:rsid w:val="00D92C10"/>
    <w:rsid w:val="00D93E6E"/>
    <w:rsid w:val="00DF57E3"/>
    <w:rsid w:val="00DF6277"/>
    <w:rsid w:val="00E00298"/>
    <w:rsid w:val="00E55F16"/>
    <w:rsid w:val="00E634B0"/>
    <w:rsid w:val="00E86010"/>
    <w:rsid w:val="00EA3350"/>
    <w:rsid w:val="00EC0778"/>
    <w:rsid w:val="00ED1460"/>
    <w:rsid w:val="00EE2B17"/>
    <w:rsid w:val="00EE3508"/>
    <w:rsid w:val="00EE5222"/>
    <w:rsid w:val="00F36FE5"/>
    <w:rsid w:val="00F46F6E"/>
    <w:rsid w:val="00F843D8"/>
    <w:rsid w:val="00FA729F"/>
    <w:rsid w:val="00FB41F3"/>
    <w:rsid w:val="00FD70FA"/>
    <w:rsid w:val="02B10C3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4"/>
    <w:qFormat/>
    <w:uiPriority w:val="9"/>
    <w:pPr>
      <w:ind w:right="170"/>
      <w:jc w:val="center"/>
      <w:outlineLvl w:val="0"/>
    </w:pPr>
    <w:rPr>
      <w:b/>
      <w:bCs/>
    </w:rPr>
  </w:style>
  <w:style w:type="paragraph" w:styleId="3">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otnote reference"/>
    <w:basedOn w:val="4"/>
    <w:semiHidden/>
    <w:unhideWhenUsed/>
    <w:uiPriority w:val="99"/>
    <w:rPr>
      <w:vertAlign w:val="superscript"/>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footnote text"/>
    <w:basedOn w:val="1"/>
    <w:link w:val="21"/>
    <w:semiHidden/>
    <w:unhideWhenUsed/>
    <w:uiPriority w:val="99"/>
    <w:rPr>
      <w:sz w:val="20"/>
      <w:szCs w:val="20"/>
    </w:rPr>
  </w:style>
  <w:style w:type="paragraph" w:styleId="9">
    <w:name w:val="header"/>
    <w:basedOn w:val="1"/>
    <w:link w:val="12"/>
    <w:unhideWhenUsed/>
    <w:uiPriority w:val="99"/>
    <w:pPr>
      <w:tabs>
        <w:tab w:val="center" w:pos="4419"/>
        <w:tab w:val="right" w:pos="8838"/>
      </w:tabs>
    </w:pPr>
  </w:style>
  <w:style w:type="paragraph" w:styleId="10">
    <w:name w:val="footer"/>
    <w:basedOn w:val="1"/>
    <w:link w:val="13"/>
    <w:unhideWhenUsed/>
    <w:uiPriority w:val="99"/>
    <w:pPr>
      <w:tabs>
        <w:tab w:val="center" w:pos="4419"/>
        <w:tab w:val="right" w:pos="8838"/>
      </w:tabs>
    </w:pPr>
  </w:style>
  <w:style w:type="paragraph" w:styleId="11">
    <w:name w:val="Body Text"/>
    <w:basedOn w:val="1"/>
    <w:link w:val="16"/>
    <w:qFormat/>
    <w:uiPriority w:val="1"/>
  </w:style>
  <w:style w:type="character" w:customStyle="1" w:styleId="12">
    <w:name w:val="Encabezado Car"/>
    <w:basedOn w:val="4"/>
    <w:link w:val="9"/>
    <w:uiPriority w:val="99"/>
  </w:style>
  <w:style w:type="character" w:customStyle="1" w:styleId="13">
    <w:name w:val="Pie de página Car"/>
    <w:basedOn w:val="4"/>
    <w:link w:val="10"/>
    <w:uiPriority w:val="99"/>
  </w:style>
  <w:style w:type="character" w:customStyle="1" w:styleId="14">
    <w:name w:val="Título 1 Car"/>
    <w:basedOn w:val="4"/>
    <w:link w:val="2"/>
    <w:uiPriority w:val="9"/>
    <w:rPr>
      <w:rFonts w:ascii="Candara" w:hAnsi="Candara" w:eastAsia="Candara" w:cs="Candara"/>
      <w:b/>
      <w:bCs/>
      <w:kern w:val="0"/>
      <w:lang w:val="es-ES"/>
      <w14:ligatures w14:val="none"/>
    </w:rPr>
  </w:style>
  <w:style w:type="table" w:customStyle="1" w:styleId="15">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6">
    <w:name w:val="Texto independiente Car"/>
    <w:basedOn w:val="4"/>
    <w:link w:val="11"/>
    <w:uiPriority w:val="1"/>
    <w:rPr>
      <w:rFonts w:ascii="Candara" w:hAnsi="Candara" w:eastAsia="Candara" w:cs="Candara"/>
      <w:kern w:val="0"/>
      <w:lang w:val="es-ES"/>
      <w14:ligatures w14:val="none"/>
    </w:rPr>
  </w:style>
  <w:style w:type="paragraph" w:styleId="17">
    <w:name w:val="List Paragraph"/>
    <w:basedOn w:val="1"/>
    <w:qFormat/>
    <w:uiPriority w:val="34"/>
    <w:pPr>
      <w:spacing w:before="148"/>
      <w:ind w:left="166" w:right="423"/>
    </w:pPr>
  </w:style>
  <w:style w:type="paragraph" w:customStyle="1" w:styleId="18">
    <w:name w:val="Table Paragraph"/>
    <w:basedOn w:val="1"/>
    <w:qFormat/>
    <w:uiPriority w:val="1"/>
    <w:pPr>
      <w:ind w:left="50"/>
    </w:pPr>
  </w:style>
  <w:style w:type="paragraph" w:styleId="19">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20">
    <w:name w:val="Unresolved Mention"/>
    <w:basedOn w:val="4"/>
    <w:semiHidden/>
    <w:unhideWhenUsed/>
    <w:uiPriority w:val="99"/>
    <w:rPr>
      <w:color w:val="605E5C"/>
      <w:shd w:val="clear" w:color="auto" w:fill="E1DFDD"/>
    </w:rPr>
  </w:style>
  <w:style w:type="character" w:customStyle="1" w:styleId="21">
    <w:name w:val="Texto nota pie Car"/>
    <w:basedOn w:val="4"/>
    <w:link w:val="8"/>
    <w:semiHidden/>
    <w:uiPriority w:val="99"/>
    <w:rPr>
      <w:rFonts w:ascii="Candara" w:hAnsi="Candara" w:eastAsia="Candara" w:cs="Candara"/>
      <w:kern w:val="0"/>
      <w:sz w:val="20"/>
      <w:szCs w:val="20"/>
      <w:lang w:val="es-ES"/>
      <w14:ligatures w14:val="none"/>
    </w:rPr>
  </w:style>
  <w:style w:type="character" w:customStyle="1" w:styleId="22">
    <w:name w:val="Título 2 Car"/>
    <w:basedOn w:val="4"/>
    <w:link w:val="3"/>
    <w:semiHidden/>
    <w:uiPriority w:val="9"/>
    <w:rPr>
      <w:rFonts w:asciiTheme="majorHAnsi" w:hAnsiTheme="majorHAnsi" w:eastAsiaTheme="majorEastAsia" w:cstheme="majorBidi"/>
      <w:color w:val="2F5597" w:themeColor="accent1" w:themeShade="BF"/>
      <w:kern w:val="0"/>
      <w:sz w:val="26"/>
      <w:szCs w:val="26"/>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emf"/><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Template>
  <Pages>6</Pages>
  <Words>1400</Words>
  <Characters>7706</Characters>
  <Lines>64</Lines>
  <Paragraphs>18</Paragraphs>
  <TotalTime>0</TotalTime>
  <ScaleCrop>false</ScaleCrop>
  <LinksUpToDate>false</LinksUpToDate>
  <CharactersWithSpaces>9088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cp:lastPrinted>2024-11-13T20:51:00Z</cp:lastPrinted>
  <dcterms:modified xsi:type="dcterms:W3CDTF">2025-08-01T13:07:08Z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A25AD4A048204228B80BF064177E7BD9_12</vt:lpwstr>
  </property>
</Properties>
</file>