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60"/>
        <w:jc w:val="center"/>
      </w:pPr>
      <w:r>
        <w:rPr>
          <w:b/>
          <w:color w:val="093B90"/>
          <w:sz w:val="28"/>
        </w:rPr>
        <w:t>TECNOLÓGICO DE MONTERREY</w:t>
        <w:br/>
      </w:r>
      <w:r>
        <w:rPr>
          <w:color w:val="1E293B"/>
          <w:sz w:val="24"/>
        </w:rPr>
        <w:t>Maestría en Inteligencia Artificial Aplicada (MNA)</w:t>
        <w:br/>
      </w:r>
      <w:r>
        <w:rPr>
          <w:i/>
          <w:color w:val="64748B"/>
          <w:sz w:val="22"/>
        </w:rPr>
        <w:t>TC5061 - Operaciones de Inteligencia Artificial (Trimestre 4)</w:t>
      </w:r>
    </w:p>
    <w:p>
      <w:pPr>
        <w:spacing w:after="480"/>
      </w:pPr>
    </w:p>
    <w:p>
      <w:pPr>
        <w:spacing w:after="240"/>
        <w:jc w:val="center"/>
      </w:pPr>
      <w:r>
        <w:rPr>
          <w:b/>
          <w:color w:val="093B90"/>
          <w:sz w:val="36"/>
        </w:rPr>
        <w:t>PROYECTO INTEGRADOR: SEGUNDA ENTREGA</w:t>
        <w:br/>
        <w:t>REPRODUCIBILIDAD CON MLFLOW PROJECTS, TRACKING AVANZADO Y GESTIÓN EN MODEL REGISTRY</w:t>
      </w:r>
    </w:p>
    <w:p>
      <w:pPr>
        <w:spacing w:after="720"/>
        <w:jc w:val="center"/>
      </w:pPr>
      <w:r>
        <w:rPr>
          <w:color w:val="1E293B"/>
          <w:sz w:val="26"/>
        </w:rPr>
        <w:t>Optimización Operativa de la Red MiBici Guadalajara (2025–2026)</w:t>
      </w:r>
    </w:p>
    <w:p>
      <w:pPr>
        <w:spacing w:after="480"/>
        <w:jc w:val="center"/>
      </w:pPr>
      <w:r>
        <w:rPr>
          <w:b/>
          <w:color w:val="093B90"/>
          <w:sz w:val="24"/>
        </w:rPr>
        <w:t>EQUIPO 30</w:t>
        <w:br/>
      </w:r>
      <w:r>
        <w:rPr>
          <w:color w:val="1E293B"/>
          <w:sz w:val="21"/>
        </w:rPr>
        <w:t>• Ricardo Bahamón (A01840023) – MLOps &amp; Pipeline Engineer</w:t>
        <w:br/>
      </w:r>
      <w:r>
        <w:rPr>
          <w:color w:val="1E293B"/>
          <w:sz w:val="21"/>
        </w:rPr>
        <w:t>• Diego Becerril (A01793740) – Lead Data Scientist &amp; Modeling</w:t>
        <w:br/>
      </w:r>
      <w:r>
        <w:rPr>
          <w:color w:val="1E293B"/>
          <w:sz w:val="21"/>
        </w:rPr>
        <w:t>• Gregorio Escobedo Straffon (A00832890) – Data Engineer &amp; Quality QA</w:t>
        <w:br/>
      </w:r>
      <w:r>
        <w:rPr>
          <w:color w:val="1E293B"/>
          <w:sz w:val="21"/>
        </w:rPr>
        <w:t>• Freddin Alcántara (A01797741) – Product &amp; Deployment Lead</w:t>
        <w:br/>
      </w:r>
    </w:p>
    <w:p>
      <w:pPr>
        <w:spacing w:before="240" w:after="240"/>
        <w:jc w:val="center"/>
      </w:pPr>
      <w:r>
        <w:rPr>
          <w:b/>
          <w:sz w:val="22"/>
        </w:rPr>
        <w:t>Repositorio Oficial en GitHub:</w:t>
        <w:br/>
      </w:r>
      <w:r>
        <w:rPr>
          <w:color w:val="1052A4"/>
          <w:u w:val="single"/>
        </w:rPr>
        <w:t>https://github.com/Diegob059/TC5061-Proyecto-Equipo30</w:t>
      </w:r>
    </w:p>
    <w:p>
      <w:pPr>
        <w:spacing w:before="480"/>
        <w:jc w:val="center"/>
      </w:pPr>
      <w:r>
        <w:rPr>
          <w:i/>
          <w:color w:val="64748B"/>
          <w:sz w:val="20"/>
        </w:rPr>
        <w:t>Octubre 25, 2026</w:t>
      </w:r>
    </w:p>
    <w:p>
      <w:r>
        <w:br w:type="page"/>
      </w:r>
    </w:p>
    <w:p>
      <w:pPr>
        <w:pStyle w:val="Heading1"/>
      </w:pPr>
      <w:r>
        <w:rPr>
          <w:color w:val="093B90"/>
        </w:rPr>
        <w:t>1. Resumen Ejecutivo y Objetivos de la Entrega</w:t>
      </w:r>
    </w:p>
    <w:p>
      <w:pPr>
        <w:spacing w:after="160"/>
      </w:pPr>
      <w:r>
        <w:t>Esta segunda entrega del proyecto integrador para el sistema de bicicletas compartidas MiBici Guadalajara eleva la madurez de la solución analítica a estándares de ingeniería MLOps y reproducibilidad profesional. Continuando sobre la base construida en la propuesta previa, se completaron los siguientes hitos cardinales:</w:t>
      </w:r>
    </w:p>
    <w:p>
      <w:pPr>
        <w:pStyle w:val="ListBullet"/>
        <w:spacing w:after="80"/>
      </w:pPr>
      <w:r>
        <w:rPr>
          <w:b/>
          <w:color w:val="093B90"/>
        </w:rPr>
        <w:t xml:space="preserve">Proyecto MLflow Ejecutable con un Solo Comando (Parte A): </w:t>
      </w:r>
      <w:r>
        <w:rPr>
          <w:color w:val="1E293B"/>
        </w:rPr>
        <w:t>Se convirtió la raíz del repositorio en un MLflow Project estandarizado (`MLproject`) con entorno versionado (`python_env.yaml`) y puntos de entrada parametrizados (`ingest`, `train`, `register_p1`, `register_p2`, `register_p3`), garantizando ejecución libre de pasos manuales desde un clon limpio.</w:t>
      </w:r>
    </w:p>
    <w:p>
      <w:pPr>
        <w:pStyle w:val="ListBullet"/>
        <w:spacing w:after="80"/>
      </w:pPr>
      <w:r>
        <w:rPr>
          <w:b/>
          <w:color w:val="093B90"/>
        </w:rPr>
        <w:t xml:space="preserve">Experimentación Sistemática y Tracking Jerárquico (Parte B): </w:t>
      </w:r>
      <w:r>
        <w:rPr>
          <w:color w:val="1E293B"/>
        </w:rPr>
        <w:t>En el experimento compartido `mibici-equipo30`, se evaluaron múltiples candidatos sistemáticamente contra la línea base para las tres preguntas operativas. Se incorporaron búsquedas con corridas anidadas (nested runs), preservando el linaje completo hacia la versión de datos y el hash de Git, así como artefactos obligatorios (modelos firmados con input_example, manifiestos SHA-256, curvas diagnósticas y configuraciones exactas).</w:t>
      </w:r>
    </w:p>
    <w:p>
      <w:pPr>
        <w:pStyle w:val="ListBullet"/>
        <w:spacing w:after="80"/>
      </w:pPr>
      <w:r>
        <w:rPr>
          <w:b/>
          <w:color w:val="093B90"/>
        </w:rPr>
        <w:t xml:space="preserve">Model Registry y Transición a Producción mediante Aliases (Parte C): </w:t>
      </w:r>
      <w:r>
        <w:rPr>
          <w:color w:val="1E293B"/>
        </w:rPr>
        <w:t>Se promovió el mejor modelo de cada pregunta al Model Registry bajo nomenclatura formal (`mibici-equipo30-p1-demanda`, `mibici-equipo30-p2-riesgo`, `mibici-equipo30-p3-grupos`). Se adoptó y justificó el esquema profesional de 'aliases' (promoción con alias `champion`), verificando exitosamente la inferencia en batch desde producción.</w:t>
      </w:r>
    </w:p>
    <w:p>
      <w:pPr>
        <w:pStyle w:val="ListBullet"/>
        <w:spacing w:after="80"/>
      </w:pPr>
      <w:r>
        <w:rPr>
          <w:b/>
          <w:color w:val="093B90"/>
        </w:rPr>
        <w:t xml:space="preserve">Gobernanza y Trabajo Colaborativo en Git/GitHub: </w:t>
      </w:r>
      <w:r>
        <w:rPr>
          <w:color w:val="1E293B"/>
        </w:rPr>
        <w:t>Todo el código se integró mediante la política de Pull Requests protegidos (GitHub Flow), con historial de commits y revisiones entre pares de los cuatro integrantes del equipo.</w:t>
      </w:r>
    </w:p>
    <w:p>
      <w:pPr>
        <w:pStyle w:val="Heading1"/>
      </w:pPr>
      <w:r>
        <w:rPr>
          <w:color w:val="093B90"/>
        </w:rPr>
        <w:t>2. Proyecto Reproducible y Empaquetado MLflow Project</w:t>
      </w:r>
    </w:p>
    <w:p>
      <w:pPr>
        <w:spacing w:after="120"/>
      </w:pPr>
      <w:r>
        <w:t>Para cumplir con el estándar de reproducibilidad y permitir el funcionamiento del Model Registry, se estableció una infraestructura de tracking desacoplada pero estandarizada:</w:t>
      </w:r>
    </w:p>
    <w:p>
      <w:pPr>
        <w:pStyle w:val="Heading2"/>
      </w:pPr>
      <w:r>
        <w:t>2.1 Servidor de Tracking Local con Base de Datos SQLite</w:t>
      </w:r>
    </w:p>
    <w:p>
      <w:r>
        <w:t>El Model Registry de MLflow requiere obligatoriamente un almacenamiento de metadatos respaldado por una base de datos relacional. Se configuró el servidor local mediante SQLite:</w:t>
      </w:r>
    </w:p>
    <w:p>
      <w:pPr>
        <w:ind w:left="720"/>
      </w:pPr>
      <w:r>
        <w:rPr>
          <w:rFonts w:ascii="Courier New" w:hAnsi="Courier New"/>
          <w:color w:val="B8091B"/>
          <w:sz w:val="19"/>
        </w:rPr>
        <w:t>mlflow server --backend-store-uri sqlite:///mlflow.db --port 5001 --host 127.0.0.1</w:t>
        <w:br/>
      </w:r>
    </w:p>
    <w:p>
      <w:r>
        <w:rPr>
          <w:i/>
          <w:sz w:val="19"/>
        </w:rPr>
        <w:t>Nota operativa: Se utilizó el puerto 5001 (configurable vía la variable de entorno MLFLOW_TRACKING_URI) para prevenir colisiones con el servicio de AirPlay en sistemas macOS. El archivo 'mlflow.db' y los directorios de artefactos locales se excluyen rigurosamente en el archivo .gitignore del repositorio para no sobrecargar el control de versiones.</w:t>
      </w:r>
    </w:p>
    <w:p>
      <w:pPr>
        <w:pStyle w:val="Heading2"/>
      </w:pPr>
      <w:r>
        <w:t>2.2 Estructura del MLproject y Puntos de Entrada</w:t>
      </w:r>
    </w:p>
    <w:p>
      <w:r>
        <w:t>El archivo 'MLproject' en la raíz del repositorio centraliza la ejecución sin duplicar constantes. Declara el entorno 'python_env.yaml' con versiones fijadas idénticas a 'requirements.txt' y define los puntos de entrada: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93B9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Entry Point</w:t>
            </w:r>
          </w:p>
        </w:tc>
        <w:tc>
          <w:tcPr>
            <w:tcW w:type="dxa" w:w="3120"/>
            <w:shd w:fill="093B9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Parámetros Clave</w:t>
            </w:r>
          </w:p>
        </w:tc>
        <w:tc>
          <w:tcPr>
            <w:tcW w:type="dxa" w:w="3120"/>
            <w:shd w:fill="093B9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Descripción Operativa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urier New" w:hAnsi="Courier New"/>
                <w:b/>
                <w:sz w:val="18"/>
              </w:rPr>
              <w:t>ingest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question (p1, p2, p3, all)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Descarga datos crudos 2025-2026, genera features y emite manifiestos criptográficos SHA-256.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urier New" w:hAnsi="Courier New"/>
                <w:b/>
                <w:sz w:val="18"/>
              </w:rPr>
              <w:t>train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question, model, hiperparámetros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Despacha al módulo de entrenamiento de P1, P2 o P3. Permite sobreescritura de parámetros o barrido completo.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urier New" w:hAnsi="Courier New"/>
                <w:b/>
                <w:sz w:val="18"/>
              </w:rPr>
              <w:t>register_p1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run_id, reason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Registra formalmente el candidato elegido de P1 en 'mibici-equipo30-p1-demanda', promueve a champion y valida inferencia.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urier New" w:hAnsi="Courier New"/>
                <w:b/>
                <w:sz w:val="18"/>
              </w:rPr>
              <w:t>register_p2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run_id, reason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Registra el candidato elegido de P2 en 'mibici-equipo30-p2-riesgo', asigna alias champion y certifica predicciones multiclase.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urier New" w:hAnsi="Courier New"/>
                <w:b/>
                <w:sz w:val="18"/>
              </w:rPr>
              <w:t>register_p3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run_id, reason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Registra el candidato elegido de P3 en 'mibici-equipo30-p3-grupos', asigna alias champion y valida inferencia no supervisada.</w:t>
            </w:r>
          </w:p>
        </w:tc>
      </w:tr>
    </w:tbl>
    <w:p>
      <w:pPr>
        <w:spacing w:after="240"/>
      </w:pPr>
    </w:p>
    <w:p>
      <w:pPr>
        <w:pStyle w:val="Heading2"/>
      </w:pPr>
      <w:r>
        <w:t>2.3 Comandos de Reproducción desde un Clon Limpio</w:t>
      </w:r>
    </w:p>
    <w:p>
      <w:r>
        <w:t>Cualquier evaluador o integrante puede reproducir la totalidad del pipeline con los siguientes comandos estándar:</w:t>
      </w:r>
    </w:p>
    <w:p>
      <w:pPr>
        <w:ind w:left="432"/>
      </w:pPr>
      <w:r>
        <w:rPr>
          <w:rFonts w:ascii="Courier New" w:hAnsi="Courier New"/>
          <w:color w:val="B8091B"/>
          <w:sz w:val="17"/>
        </w:rPr>
        <w:t># 1. Clonar e instalar dependencias fijadas</w:t>
        <w:br/>
        <w:t>git clone https://github.com/Diegob059/TC5061-Proyecto-Equipo30.git</w:t>
        <w:br/>
        <w:t>cd TC5061-Proyecto-Equipo30 &amp;&amp; pip install -r requirements.txt &amp;&amp; pip install -e .</w:t>
        <w:br/>
        <w:br/>
        <w:t># 2. Ingesta reproducible de todas las preguntas</w:t>
        <w:br/>
        <w:t>mlflow run . -e ingest --env-manager local</w:t>
        <w:br/>
        <w:br/>
        <w:t># 3. Entrenamiento reproducible de cada pregunta</w:t>
        <w:br/>
        <w:t>mlflow run . -e train -P question=p1 --experiment-name mibici-equipo30 --env-manager local</w:t>
        <w:br/>
        <w:t>mlflow run . -e train -P question=p2 --experiment-name mibici-equipo30 --env-manager local</w:t>
        <w:br/>
        <w:t>mlflow run . -e train -P question=p3 --experiment-name mibici-equipo30 --env-manager local</w:t>
        <w:br/>
        <w:br/>
        <w:t># 4. Registro y promoción a producción (Model Registry)</w:t>
        <w:br/>
        <w:t>mlflow run . -e register_p1 -P run_id=e17f484bf7b349d19a63edc19802cb07 -P reason="Champion P1: arbol d10_l50" --env-manager local</w:t>
        <w:br/>
        <w:t>mlflow run . -e register_p2 -P run_id=8350c8c6b05d49f9a2f1b7746bd0463c -P reason="Champion P2: lgbm_profundo" --env-manager local</w:t>
        <w:br/>
        <w:t>mlflow run . -e register_p3 -P run_id=f732c016be2d4e80b05415d005826f4e -P reason="Champion P3: hourly_gmm_k2" --env-manager local</w:t>
      </w:r>
    </w:p>
    <w:p>
      <w:r>
        <w:br w:type="page"/>
      </w:r>
    </w:p>
    <w:p>
      <w:pPr>
        <w:pStyle w:val="Heading1"/>
      </w:pPr>
      <w:r>
        <w:rPr>
          <w:color w:val="093B90"/>
        </w:rPr>
        <w:t>3. Experimentación Sistemática, Comparación y Artefactos</w:t>
      </w:r>
    </w:p>
    <w:p>
      <w:r>
        <w:t>Todas las corridas de experimentación se realizaron de forma controlada dentro del experimento unificado 'mibici-equipo30'. A continuación se presenta el análisis comparativo contra la línea base y la justificación de selección para cada una de las tres preguntas.</w:t>
      </w:r>
    </w:p>
    <w:p>
      <w:pPr>
        <w:pStyle w:val="Heading2"/>
      </w:pPr>
      <w:r>
        <w:t>3.1 Pregunta 1: Demanda e Inventario Inicial de Bicicletas</w:t>
      </w:r>
    </w:p>
    <w:p>
      <w:r>
        <w:t>La formulación de P1 resuelve el pronóstico horario de salidas y llegadas de bicicletas para cada estación, integrándolo con un balance conservador que determina el inventario inicial requerido para cubrir la ventana crítica del primer pico matutino. Partición temporal: Entrenamiento en 2025 (feb–dic), Validación en el primer semestre de 2026 (ene–jun) y Prueba final en jul–sep 2026. Métrica rectora de selección: MAE de inventario en Validación (dejando Prueba intacta para reporte).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93B9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Modelo / Candidato</w:t>
            </w:r>
          </w:p>
        </w:tc>
        <w:tc>
          <w:tcPr>
            <w:tcW w:type="dxa" w:w="1560"/>
            <w:shd w:fill="093B9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Prof. / Hojas</w:t>
            </w:r>
          </w:p>
        </w:tc>
        <w:tc>
          <w:tcPr>
            <w:tcW w:type="dxa" w:w="1560"/>
            <w:shd w:fill="093B9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MAE Val (Inventario)</w:t>
            </w:r>
          </w:p>
        </w:tc>
        <w:tc>
          <w:tcPr>
            <w:tcW w:type="dxa" w:w="1560"/>
            <w:shd w:fill="093B9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MAE Test (Inventario)</w:t>
            </w:r>
          </w:p>
        </w:tc>
        <w:tc>
          <w:tcPr>
            <w:tcW w:type="dxa" w:w="1560"/>
            <w:shd w:fill="093B9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Mejora vs Baseline (Val)</w:t>
            </w:r>
          </w:p>
        </w:tc>
        <w:tc>
          <w:tcPr>
            <w:tcW w:type="dxa" w:w="1560"/>
            <w:shd w:fill="093B9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Mejora vs Baseline (Test)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Baseline Semanal Heurístico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Fijo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2.1726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2.1554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Ref. (0.00%)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Ref. (0.00%)</w:t>
            </w:r>
          </w:p>
        </w:tc>
      </w:tr>
      <w:tr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Promedio Histórico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Fijo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2.3394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2.3278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-7.68%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-8.00%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Árbol d=6, l=100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6 / 100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1.9567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1.9772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+9.94%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+8.27%</w:t>
            </w:r>
          </w:p>
        </w:tc>
      </w:tr>
      <w:tr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Árbol d=6, l=50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6 / 50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1.9488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1.9701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+10.30%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+8.60%</w:t>
            </w:r>
          </w:p>
        </w:tc>
      </w:tr>
      <w:tr>
        <w:tc>
          <w:tcPr>
            <w:tcW w:type="dxa" w:w="1560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Árbol d=10, l=50 (Champion)</w:t>
            </w:r>
          </w:p>
        </w:tc>
        <w:tc>
          <w:tcPr>
            <w:tcW w:type="dxa" w:w="1560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10 / 50</w:t>
            </w:r>
          </w:p>
        </w:tc>
        <w:tc>
          <w:tcPr>
            <w:tcW w:type="dxa" w:w="1560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1.9263</w:t>
            </w:r>
          </w:p>
        </w:tc>
        <w:tc>
          <w:tcPr>
            <w:tcW w:type="dxa" w:w="1560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1.9556</w:t>
            </w:r>
          </w:p>
        </w:tc>
        <w:tc>
          <w:tcPr>
            <w:tcW w:type="dxa" w:w="1560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+11.34%</w:t>
            </w:r>
          </w:p>
        </w:tc>
        <w:tc>
          <w:tcPr>
            <w:tcW w:type="dxa" w:w="1560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+9.27%</w:t>
            </w:r>
          </w:p>
        </w:tc>
      </w:tr>
    </w:tbl>
    <w:p>
      <w:pPr>
        <w:spacing w:before="120"/>
      </w:pPr>
      <w:r>
        <w:rPr>
          <w:b/>
        </w:rPr>
        <w:t xml:space="preserve">Justificación del Champion P1: </w:t>
      </w:r>
      <w:r>
        <w:t>El modelo 'arbol_d10_l50' logra el menor error medio absoluto de inventario (MAE = 1.9263 bicicletas por estación en validación), superando al baseline semanal en +11.34% en validación y +9.27% en prueba. A nivel operativo, evita requerir tablas históricas voluminosas, computa predicciones en milisegundos y minimiza tanto el riesgo de estaciones secas matutinas como el costo de transporte innecesario.</w:t>
      </w:r>
    </w:p>
    <w:p>
      <w:pPr>
        <w:pStyle w:val="Heading2"/>
      </w:pPr>
      <w:r>
        <w:t>3.2 Pregunta 2: Clasificación de Riesgo de Desabasto y Saturación</w:t>
      </w:r>
    </w:p>
    <w:p>
      <w:r>
        <w:t xml:space="preserve">La Pregunta 2 predice el riesgo multiclase en estaciones a 2 horas hacia adelante: Clase 0 (Normal), Clase 1 (Riesgo de Desabasto / vacío) y Clase 2 (Riesgo de Saturación / lleno). </w:t>
        <w:br/>
        <w:t>Tratamiento estricto de fuga temporal (Anti-Leakage): Se detectó y resolvió una fuga crítica donde las observaciones posteriores a las 22:00 del 31 de diciembre de 2025 proyectaban su ventana de 2 horas hacia enero de 2026. Se fijó el corte de entrenamiento en '2025-12-31 22:00:00', eliminando exactamente 940 filas límite y garantizando una evaluación sobre Test 100% libre de contaminación.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093B9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Modelo / Candidato</w:t>
            </w:r>
          </w:p>
        </w:tc>
        <w:tc>
          <w:tcPr>
            <w:tcW w:type="dxa" w:w="1337"/>
            <w:shd w:fill="093B9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Hiperparámetros</w:t>
            </w:r>
          </w:p>
        </w:tc>
        <w:tc>
          <w:tcPr>
            <w:tcW w:type="dxa" w:w="1337"/>
            <w:shd w:fill="093B9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Macro F1</w:t>
            </w:r>
          </w:p>
        </w:tc>
        <w:tc>
          <w:tcPr>
            <w:tcW w:type="dxa" w:w="1337"/>
            <w:shd w:fill="093B9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Balanced Acc</w:t>
            </w:r>
          </w:p>
        </w:tc>
        <w:tc>
          <w:tcPr>
            <w:tcW w:type="dxa" w:w="1337"/>
            <w:shd w:fill="093B9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Recall Desabasto</w:t>
            </w:r>
          </w:p>
        </w:tc>
        <w:tc>
          <w:tcPr>
            <w:tcW w:type="dxa" w:w="1337"/>
            <w:shd w:fill="093B9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Recall Saturación</w:t>
            </w:r>
          </w:p>
        </w:tc>
        <w:tc>
          <w:tcPr>
            <w:tcW w:type="dxa" w:w="1337"/>
            <w:shd w:fill="093B9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Latencia (ms/1k)</w:t>
            </w:r>
          </w:p>
        </w:tc>
      </w:tr>
      <w:tr>
        <w:tc>
          <w:tcPr>
            <w:tcW w:type="dxa" w:w="1337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Baseline Estratificado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DummyClassifier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0.3333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33.36%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0.78%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0.62%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&lt;0.5 ms</w:t>
            </w:r>
          </w:p>
        </w:tc>
      </w:tr>
      <w:tr>
        <w:tc>
          <w:tcPr>
            <w:tcW w:type="dxa" w:w="1337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lgbm_compacto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depth=5, n=80, lr=0.10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0.3578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85.88%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85.64%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89.51%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0.83 ms</w:t>
            </w:r>
          </w:p>
        </w:tc>
      </w:tr>
      <w:tr>
        <w:tc>
          <w:tcPr>
            <w:tcW w:type="dxa" w:w="1337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lgbm_balanceado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depth=7, n=120, lr=0.08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0.3662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87.46%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87.90%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90.58%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1.70 ms</w:t>
            </w:r>
          </w:p>
        </w:tc>
      </w:tr>
      <w:tr>
        <w:tc>
          <w:tcPr>
            <w:tcW w:type="dxa" w:w="1337"/>
            <w:shd w:fill="E2E8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lgbm_profundo (Champion)</w:t>
            </w:r>
          </w:p>
        </w:tc>
        <w:tc>
          <w:tcPr>
            <w:tcW w:type="dxa" w:w="1337"/>
            <w:shd w:fill="E2E8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depth=9, n=180, lr=0.04</w:t>
            </w:r>
          </w:p>
        </w:tc>
        <w:tc>
          <w:tcPr>
            <w:tcW w:type="dxa" w:w="1337"/>
            <w:shd w:fill="E2E8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0.3708</w:t>
            </w:r>
          </w:p>
        </w:tc>
        <w:tc>
          <w:tcPr>
            <w:tcW w:type="dxa" w:w="1337"/>
            <w:shd w:fill="E2E8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88.00%</w:t>
            </w:r>
          </w:p>
        </w:tc>
        <w:tc>
          <w:tcPr>
            <w:tcW w:type="dxa" w:w="1337"/>
            <w:shd w:fill="E2E8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88.41%</w:t>
            </w:r>
          </w:p>
        </w:tc>
        <w:tc>
          <w:tcPr>
            <w:tcW w:type="dxa" w:w="1337"/>
            <w:shd w:fill="E2E8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90.92%</w:t>
            </w:r>
          </w:p>
        </w:tc>
        <w:tc>
          <w:tcPr>
            <w:tcW w:type="dxa" w:w="1337"/>
            <w:shd w:fill="E2E8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3.84 ms</w:t>
            </w:r>
          </w:p>
        </w:tc>
      </w:tr>
    </w:tbl>
    <w:p>
      <w:pPr>
        <w:spacing w:before="120"/>
      </w:pPr>
      <w:r>
        <w:rPr>
          <w:b/>
        </w:rPr>
        <w:t xml:space="preserve">Justificación del Champion P2: </w:t>
      </w:r>
      <w:r>
        <w:t>El candidato 'lgbm_profundo' maximiza la métrica central de negocio: Recall en las clases críticas operativas (88.41% de detección de desabasto y 90.92% de saturación), con una Balanced Accuracy del 88.00% y un Macro F1 de 0.3708 sobre más de 3 millones de registros de prueba. La latencia de inferencia (3.84 ms por 1k registros) permite evaluar la red entera de 470 estaciones en menos de 2 ms, haciéndolo ideal para producción.</w:t>
      </w:r>
    </w:p>
    <w:p>
      <w:pPr>
        <w:pStyle w:val="Heading2"/>
      </w:pPr>
      <w:r>
        <w:t>3.3 Pregunta 3: Clustering No Supervisado de Estaciones</w:t>
      </w:r>
    </w:p>
    <w:p>
      <w:r>
        <w:t>La Pregunta 3 segmenta las 352 estaciones comunes a los 21 meses según sus perfiles temporales de uso para apoyar las rutas de camiones de rebalanceo. Se ejecutó una búsqueda exhaustiva de hiperparámetros organizada en corridas anidadas (nested runs): 1 run padre y 36 runs hijos que combinan K-Means y Gaussian Mixture Models (GMM), con k de 2 a 10 sobre 2 conjuntos de características ('hourly' de 52 features y 'bucketed' de 14 features).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093B9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Modelo / Candidato</w:t>
            </w:r>
          </w:p>
        </w:tc>
        <w:tc>
          <w:tcPr>
            <w:tcW w:type="dxa" w:w="1337"/>
            <w:shd w:fill="093B9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Algoritmo</w:t>
            </w:r>
          </w:p>
        </w:tc>
        <w:tc>
          <w:tcPr>
            <w:tcW w:type="dxa" w:w="1337"/>
            <w:shd w:fill="093B9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k</w:t>
            </w:r>
          </w:p>
        </w:tc>
        <w:tc>
          <w:tcPr>
            <w:tcW w:type="dxa" w:w="1337"/>
            <w:shd w:fill="093B9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Conjunto Features</w:t>
            </w:r>
          </w:p>
        </w:tc>
        <w:tc>
          <w:tcPr>
            <w:tcW w:type="dxa" w:w="1337"/>
            <w:shd w:fill="093B9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Silueta (↑)</w:t>
            </w:r>
          </w:p>
        </w:tc>
        <w:tc>
          <w:tcPr>
            <w:tcW w:type="dxa" w:w="1337"/>
            <w:shd w:fill="093B9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Davies-Bouldin (↓)</w:t>
            </w:r>
          </w:p>
        </w:tc>
        <w:tc>
          <w:tcPr>
            <w:tcW w:type="dxa" w:w="1337"/>
            <w:shd w:fill="093B9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Inercia</w:t>
            </w:r>
          </w:p>
        </w:tc>
      </w:tr>
      <w:tr>
        <w:tc>
          <w:tcPr>
            <w:tcW w:type="dxa" w:w="1337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Baseline Heurístico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KMeans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hourly (52)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0.0911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2.3217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14,019.47</w:t>
            </w:r>
          </w:p>
        </w:tc>
      </w:tr>
      <w:tr>
        <w:tc>
          <w:tcPr>
            <w:tcW w:type="dxa" w:w="1337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bucketed_gmm_k2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GMM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bucketed (14)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0.1536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2.4225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1337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bucketed_kmeans_k2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KMeans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bucketed (14)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0.1573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2.1235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1337"/>
            <w:shd w:fill="E2E8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hourly_gmm_k2 (Champion)</w:t>
            </w:r>
          </w:p>
        </w:tc>
        <w:tc>
          <w:tcPr>
            <w:tcW w:type="dxa" w:w="1337"/>
            <w:shd w:fill="E2E8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GMM</w:t>
            </w:r>
          </w:p>
        </w:tc>
        <w:tc>
          <w:tcPr>
            <w:tcW w:type="dxa" w:w="1337"/>
            <w:shd w:fill="E2E8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2</w:t>
            </w:r>
          </w:p>
        </w:tc>
        <w:tc>
          <w:tcPr>
            <w:tcW w:type="dxa" w:w="1337"/>
            <w:shd w:fill="E2E8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hourly (52)</w:t>
            </w:r>
          </w:p>
        </w:tc>
        <w:tc>
          <w:tcPr>
            <w:tcW w:type="dxa" w:w="1337"/>
            <w:shd w:fill="E2E8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0.2918</w:t>
            </w:r>
          </w:p>
        </w:tc>
        <w:tc>
          <w:tcPr>
            <w:tcW w:type="dxa" w:w="1337"/>
            <w:shd w:fill="E2E8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1.9792</w:t>
            </w:r>
          </w:p>
        </w:tc>
        <w:tc>
          <w:tcPr>
            <w:tcW w:type="dxa" w:w="1337"/>
            <w:shd w:fill="E2E8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-</w:t>
            </w:r>
          </w:p>
        </w:tc>
      </w:tr>
    </w:tbl>
    <w:p>
      <w:pPr>
        <w:spacing w:before="120"/>
      </w:pPr>
      <w:r>
        <w:rPr>
          <w:b/>
        </w:rPr>
        <w:t xml:space="preserve">Justificación del Champion P3: </w:t>
      </w:r>
      <w:r>
        <w:t>El modelo 'hourly_gmm_k2' obtiene el mayor coeficiente de silueta de todo el barrido (0.2918, una mejora relativa de +220% frente al 0.0911 del baseline) y el menor índice de Davies-Bouldin (1.9792 vs 2.3217). Aporta una interpretación operativa inmediata: segmenta el 93.5% de estaciones como 'origen residencial' (pico matutino de salidas 7-9h) y el 6.5% como 'destino laboral/comercial céntrico' (pico matutino de llegadas 8-10h), guiando el rebalanceo asimétrico de camiones.</w:t>
      </w:r>
    </w:p>
    <w:p>
      <w:pPr>
        <w:pStyle w:val="Heading2"/>
      </w:pPr>
      <w:r>
        <w:t>3.4 Auditoría de Artefactos Registrados por Corrida</w:t>
      </w:r>
    </w:p>
    <w:p>
      <w:r>
        <w:t>En estricto apego a la rúbrica, cada corrida candidata promovida conserva los artefactos que respaldan su resultado, organizados en subdirectorios limpios:</w:t>
      </w:r>
    </w:p>
    <w:p>
      <w:pPr>
        <w:pStyle w:val="ListBullet"/>
        <w:spacing w:after="60"/>
      </w:pPr>
      <w:r>
        <w:rPr>
          <w:rFonts w:ascii="Courier New" w:hAnsi="Courier New"/>
          <w:b/>
        </w:rPr>
        <w:t xml:space="preserve">model/ : </w:t>
      </w:r>
      <w:r>
        <w:rPr>
          <w:sz w:val="19"/>
        </w:rPr>
        <w:t>Modelo serializado con mlflow.sklearn.log_model empaquetando preprocesamiento/escalador y estimador, firma formal (signature) y 5 filas de input_example.</w:t>
      </w:r>
    </w:p>
    <w:p>
      <w:pPr>
        <w:pStyle w:val="ListBullet"/>
        <w:spacing w:after="60"/>
      </w:pPr>
      <w:r>
        <w:rPr>
          <w:rFonts w:ascii="Courier New" w:hAnsi="Courier New"/>
          <w:b/>
        </w:rPr>
        <w:t xml:space="preserve">data/ : </w:t>
      </w:r>
      <w:r>
        <w:rPr>
          <w:sz w:val="19"/>
        </w:rPr>
        <w:t>Manifiesto de datos criptográfico (references/data_manifest.json) con hashes SHA-256 y linaje registrado vía mlflow.log_input.</w:t>
      </w:r>
    </w:p>
    <w:p>
      <w:pPr>
        <w:pStyle w:val="ListBullet"/>
        <w:spacing w:after="60"/>
      </w:pPr>
      <w:r>
        <w:rPr>
          <w:rFonts w:ascii="Courier New" w:hAnsi="Courier New"/>
          <w:b/>
        </w:rPr>
        <w:t xml:space="preserve">config/ : </w:t>
      </w:r>
      <w:r>
        <w:rPr>
          <w:sz w:val="19"/>
        </w:rPr>
        <w:t>Archivo JSON estructurado con hiperparámetros exactos, cortes temporales y semillas aleatorias para garantizar reproducibilidad exacta.</w:t>
      </w:r>
    </w:p>
    <w:p>
      <w:pPr>
        <w:pStyle w:val="ListBullet"/>
        <w:spacing w:after="60"/>
      </w:pPr>
      <w:r>
        <w:rPr>
          <w:rFonts w:ascii="Courier New" w:hAnsi="Courier New"/>
          <w:b/>
        </w:rPr>
        <w:t xml:space="preserve">figures/ / plots/ : </w:t>
      </w:r>
      <w:r>
        <w:rPr>
          <w:sz w:val="19"/>
        </w:rPr>
        <w:t>Visualizaciones diagnósticas (curvas real vs predicho en P1, matriz de confusión e importancia de variables en P2, mapas geográficos y perfiles horarios en P3).</w:t>
      </w:r>
    </w:p>
    <w:p>
      <w:r>
        <w:br w:type="page"/>
      </w:r>
    </w:p>
    <w:p>
      <w:pPr>
        <w:pStyle w:val="Heading1"/>
      </w:pPr>
      <w:r>
        <w:rPr>
          <w:color w:val="093B90"/>
        </w:rPr>
        <w:t>4. Model Registry, Ciclo de Vida y Producción</w:t>
      </w:r>
    </w:p>
    <w:p>
      <w:r>
        <w:t>Se registraron los tres modelos elegidos con nombres consistentes y trazabilidad completa hacia su experimento, corrida, commit y versión de datos: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93B9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Nombre Registrado</w:t>
            </w:r>
          </w:p>
        </w:tc>
        <w:tc>
          <w:tcPr>
            <w:tcW w:type="dxa" w:w="1872"/>
            <w:shd w:fill="093B9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Versión Activa</w:t>
            </w:r>
          </w:p>
        </w:tc>
        <w:tc>
          <w:tcPr>
            <w:tcW w:type="dxa" w:w="1872"/>
            <w:shd w:fill="093B9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Alias de Producción</w:t>
            </w:r>
          </w:p>
        </w:tc>
        <w:tc>
          <w:tcPr>
            <w:tcW w:type="dxa" w:w="1872"/>
            <w:shd w:fill="093B9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Run ID de Origen</w:t>
            </w:r>
          </w:p>
        </w:tc>
        <w:tc>
          <w:tcPr>
            <w:tcW w:type="dxa" w:w="1872"/>
            <w:shd w:fill="093B9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URI de Consumo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urier New" w:hAnsi="Courier New"/>
                <w:sz w:val="17"/>
              </w:rPr>
              <w:t>mibici-equipo30-p1-demanda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Versión 1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champion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7e12a4a305c6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urier New" w:hAnsi="Courier New"/>
                <w:sz w:val="17"/>
              </w:rPr>
              <w:t>models:/mibici-equipo30-p1-demanda@champion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urier New" w:hAnsi="Courier New"/>
                <w:sz w:val="17"/>
              </w:rPr>
              <w:t>mibici-equipo30-p2-riesgo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Versión 3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champion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8350c8c6b05d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urier New" w:hAnsi="Courier New"/>
                <w:sz w:val="17"/>
              </w:rPr>
              <w:t>models:/mibici-equipo30-p2-riesgo@champion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urier New" w:hAnsi="Courier New"/>
                <w:sz w:val="17"/>
              </w:rPr>
              <w:t>mibici-equipo30-p3-grupos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Versión 3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champion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f732c016be2d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urier New" w:hAnsi="Courier New"/>
                <w:sz w:val="17"/>
              </w:rPr>
              <w:t>models:/mibici-equipo30-p3-grupos@champion</w:t>
            </w:r>
          </w:p>
        </w:tc>
      </w:tr>
    </w:tbl>
    <w:p>
      <w:pPr>
        <w:pStyle w:val="Heading2"/>
      </w:pPr>
      <w:r>
        <w:t>4.1 Justificación Técnica del Esquema de Ciclo de Vida: Aliases vs. Etapas Clásicas</w:t>
      </w:r>
    </w:p>
    <w:p>
      <w:r>
        <w:t>De acuerdo con las mejores prácticas oficiales de MLflow (versiones 2.8+ y vigentes), el equipo adoptó el esquema de Aliases (específicamente el alias 'champion') en lugar del esquema histórico de etapas rígidas (Stages: 'Staging' / 'Production'). Las razones técnicas y operativas de esta decisión son las siguientes:</w:t>
      </w:r>
    </w:p>
    <w:p>
      <w:pPr>
        <w:pStyle w:val="ListBullet"/>
        <w:spacing w:after="60"/>
      </w:pPr>
      <w:r>
        <w:rPr>
          <w:b/>
          <w:color w:val="093B90"/>
        </w:rPr>
        <w:t xml:space="preserve">Deprecación oficial de Stages: </w:t>
      </w:r>
      <w:r>
        <w:rPr>
          <w:sz w:val="19"/>
        </w:rPr>
        <w:t>MLflow formalmente desaconsejó el uso de etapas fijas debido a su inflexibilidad en arquitecturas modernas de despliegue multi-entorno (dev, qa, shadow, prod).</w:t>
      </w:r>
    </w:p>
    <w:p>
      <w:pPr>
        <w:pStyle w:val="ListBullet"/>
        <w:spacing w:after="60"/>
      </w:pPr>
      <w:r>
        <w:rPr>
          <w:b/>
          <w:color w:val="093B90"/>
        </w:rPr>
        <w:t xml:space="preserve">Mutabilidad controlada y punteros ligeros: </w:t>
      </w:r>
      <w:r>
        <w:rPr>
          <w:sz w:val="19"/>
        </w:rPr>
        <w:t>Los aliases actúan como punteros simbólicos con nombre ('champion', 'challenger') que pueden reasignarse instantáneamente a una nueva versión sin alterar los metadatos inmutables del artefacto.</w:t>
      </w:r>
    </w:p>
    <w:p>
      <w:pPr>
        <w:pStyle w:val="ListBullet"/>
        <w:spacing w:after="60"/>
      </w:pPr>
      <w:r>
        <w:rPr>
          <w:b/>
          <w:color w:val="093B90"/>
        </w:rPr>
        <w:t xml:space="preserve">Integración nativa con CI/CD e inferencia desacoplada: </w:t>
      </w:r>
      <w:r>
        <w:rPr>
          <w:sz w:val="19"/>
        </w:rPr>
        <w:t>Las aplicaciones consumidoras pueden referenciar permanentemente la URI estable 'models:/modelo@champion'. Cuando un nuevo candidato supera la evaluación, se reasigna el alias sin requerir despliegues ni cambios en el código de producción.</w:t>
      </w:r>
    </w:p>
    <w:p>
      <w:pPr>
        <w:pStyle w:val="ListBullet"/>
        <w:spacing w:after="60"/>
      </w:pPr>
      <w:r>
        <w:rPr>
          <w:b/>
          <w:color w:val="093B90"/>
        </w:rPr>
        <w:t xml:space="preserve">Verificación Previa a la Promoción: </w:t>
      </w:r>
      <w:r>
        <w:rPr>
          <w:sz w:val="19"/>
        </w:rPr>
        <w:t>Los scripts 'p1_register.py', 'p2_register.py' y 'p3_register.py' implementan una certificación en dos pasos: primero cargan el artefacto por su número de versión, evalúan un conjunto de prueba, y solo tras verificar que las predicciones son idénticas y válidas, reasignan el alias 'champion'.</w:t>
      </w:r>
    </w:p>
    <w:p>
      <w:r>
        <w:br w:type="page"/>
      </w:r>
    </w:p>
    <w:p>
      <w:pPr>
        <w:pStyle w:val="Heading1"/>
      </w:pPr>
      <w:r>
        <w:rPr>
          <w:color w:val="093B90"/>
        </w:rPr>
        <w:t>5. Evidencia Visual de MLflow Tracking y Model Registry</w:t>
      </w:r>
    </w:p>
    <w:p>
      <w:r>
        <w:t>A continuación se presentan las capturas de pantalla de la interfaz gráfica de MLflow correspondientes al Paso 10 de las instrucciones:</w:t>
      </w:r>
    </w:p>
    <w:p>
      <w:pPr>
        <w:pStyle w:val="Heading2"/>
      </w:pPr>
      <w:r>
        <w:t>5.1 Model Registry: Tres Modelos en Producción bajo el Alias 'champion'</w:t>
      </w:r>
    </w:p>
    <w:p>
      <w:r>
        <w:t>La siguiente captura de la interfaz de MLflow (puerto 5001) confirma el registro de los tres modelos oficiales ('mibici-equipo30-p1-demanda', 'mibici-equipo30-p2-riesgo' y 'mibici-equipo30-p3-grupos'), cada uno con su versión activa y el alias de producción 'champion' debidamente asignado:</w:t>
      </w:r>
    </w:p>
    <w:p>
      <w:r>
        <w:drawing>
          <wp:inline xmlns:a="http://schemas.openxmlformats.org/drawingml/2006/main" xmlns:pic="http://schemas.openxmlformats.org/drawingml/2006/picture">
            <wp:extent cx="5669280" cy="36445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lflow_model_registry_all_model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1: Vista general del Model Registry con los tres modelos del proyecto en estado de producción (@champion).</w:t>
      </w:r>
    </w:p>
    <w:p>
      <w:pPr>
        <w:spacing w:after="240"/>
      </w:pPr>
    </w:p>
    <w:p>
      <w:pPr>
        <w:pStyle w:val="Heading2"/>
      </w:pPr>
      <w:r>
        <w:t>5.2 Búsqueda de Hiperparámetros con Corridas Anidadas (Nested Runs)</w:t>
      </w:r>
    </w:p>
    <w:p>
      <w:r>
        <w:t>Vista del experimento 'mibici-equipo30' evidenciando la estructura de búsqueda anidada: un run padre y múltiples corridas hijas parametrizadas para la exploración rigurosa del espacio de búsqueda:</w:t>
      </w:r>
    </w:p>
    <w:p>
      <w:r>
        <w:drawing>
          <wp:inline xmlns:a="http://schemas.openxmlformats.org/drawingml/2006/main" xmlns:pic="http://schemas.openxmlformats.org/drawingml/2006/picture">
            <wp:extent cx="5669280" cy="36445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lflow_experiment_ru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2: Vista de corridas de experimentación en MLflow Tracking, mostrando jerarquía y comparación de métricas.</w:t>
      </w:r>
    </w:p>
    <w:p>
      <w:pPr>
        <w:spacing w:after="240"/>
      </w:pPr>
    </w:p>
    <w:p>
      <w:pPr>
        <w:pStyle w:val="Heading2"/>
      </w:pPr>
      <w:r>
        <w:t>5.3 Detalle de Artefactos de una Corrida Candidata</w:t>
      </w:r>
    </w:p>
    <w:p>
      <w:r>
        <w:t>Detalle de la corrida candidata Champion evidenciando el empaquetado estructurado en subcarpetas: modelo scikit-learn firmado, ejemplo de entrada (input_example), manifiesto de datos en 'data/' y configuraciones reproducibles en 'config/':</w:t>
      </w:r>
    </w:p>
    <w:p>
      <w:r>
        <w:drawing>
          <wp:inline xmlns:a="http://schemas.openxmlformats.org/drawingml/2006/main" xmlns:pic="http://schemas.openxmlformats.org/drawingml/2006/picture">
            <wp:extent cx="5669280" cy="36445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lflow_candidate_run_deta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3: Detalle de artefactos, firma del modelo y metadatos registrados para la corrida candidata.</w:t>
      </w:r>
    </w:p>
    <w:p>
      <w:pPr>
        <w:spacing w:after="240"/>
      </w:pPr>
    </w:p>
    <w:p>
      <w:r>
        <w:br w:type="page"/>
      </w:r>
    </w:p>
    <w:p>
      <w:pPr>
        <w:pStyle w:val="Heading1"/>
      </w:pPr>
      <w:r>
        <w:rPr>
          <w:color w:val="093B90"/>
        </w:rPr>
        <w:t>6. Colaboración del Equipo y Flujo GitHub Flow</w:t>
      </w:r>
    </w:p>
    <w:p>
      <w:r>
        <w:t>Para garantizar la calidad de la solución, el equipo operó bajo la convención de GitHub Flow: la rama principal 'main' está protegida, y toda contribución requirió la apertura de una rama semántica ('feature/*', 'fix/*', 'docs/*') y un Pull Request formal con revisión de código.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93B9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Integrante</w:t>
            </w:r>
          </w:p>
        </w:tc>
        <w:tc>
          <w:tcPr>
            <w:tcW w:type="dxa" w:w="2340"/>
            <w:shd w:fill="093B9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Rol Principal</w:t>
            </w:r>
          </w:p>
        </w:tc>
        <w:tc>
          <w:tcPr>
            <w:tcW w:type="dxa" w:w="2340"/>
            <w:shd w:fill="093B9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Pull Requests Abiertos</w:t>
            </w:r>
          </w:p>
        </w:tc>
        <w:tc>
          <w:tcPr>
            <w:tcW w:type="dxa" w:w="2340"/>
            <w:shd w:fill="093B9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Revisiones Realizadas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Ricardo Bahamón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MLOps &amp; Pipeline Engineer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PR #19 (fixes), PR #20 (anti-leakage), PR #21 (P2 tracking), PR #22 (P3 tracking)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Revisión formal y aprobación en PRs #11, #17, #18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Diego Becerril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Lead Data Scientist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PR #8, #9 (P3 eda/docs), PR #12, #14 (MLproject), PR #13 (deps), PR #15, #17 (P3 nested)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Revisión y merge de PRs #18, #20, #21, #22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Gregorio Escobedo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Data Engineer &amp; QA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PR #10 (propuesta), PR #11 (arquitectura/canvas), PR #18 (P1 tracking y registry)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Revisión técnica y aprobación en PRs #12, #13, #19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Freddin Alcántara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Product &amp; Deployment Lead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PR #7 (especificación operativa, ML Canvas inicial y métricas)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Revisión y validación de requisitos en PRs #10, #21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93B90"/>
        </w:rPr>
        <w:t>7. Referencias Bibliográficas (Formato APA 7)</w:t>
      </w:r>
    </w:p>
    <w:p>
      <w:pPr>
        <w:spacing w:after="120"/>
        <w:ind w:left="720" w:hanging="720"/>
      </w:pPr>
      <w:r>
        <w:rPr>
          <w:sz w:val="19"/>
        </w:rPr>
        <w:t>Ke, G., Meng, Q., Finley, T., Wang, T., Chen, W., Ma, W., Ye, Q., &amp; Liu, T. Y. (2017). LightGBM: A highly efficient gradient boosting decision tree. In Advances in Neural Information Processing Systems (NeurIPS 2017) (Vol. 30, pp. 3146–3154). Curran Associates, Inc.</w:t>
      </w:r>
    </w:p>
    <w:p>
      <w:pPr>
        <w:spacing w:after="120"/>
        <w:ind w:left="720" w:hanging="720"/>
      </w:pPr>
      <w:r>
        <w:rPr>
          <w:sz w:val="19"/>
        </w:rPr>
        <w:t>Pedregosa, F., Varoquaux, G., Gramfort, A., Michel, V., Thirion, B., Grisel, O., Blondel, M., Prettenhofer, P., Weiss, R., Dubourg, V., Vanderplas, J., Passos, A., Cournapeau, D., Brucher, M., Perrot, M., &amp; Duchesnay, E. (2011). Scikit-learn: Machine learning in Python. Journal of Machine Learning Research, 12, 2825–2830.</w:t>
      </w:r>
    </w:p>
    <w:p>
      <w:pPr>
        <w:spacing w:after="120"/>
        <w:ind w:left="720" w:hanging="720"/>
      </w:pPr>
      <w:r>
        <w:rPr>
          <w:sz w:val="19"/>
        </w:rPr>
        <w:t>Rousseeuw, P. J. (1987). Silhouettes: A graphical aid to the interpretation and validation of cluster analysis. Journal of Computational and Applied Mathematics, 20, 53–65. https://doi.org/10.1016/0377-0427(87)90125-7</w:t>
      </w:r>
    </w:p>
    <w:p>
      <w:pPr>
        <w:spacing w:after="120"/>
        <w:ind w:left="720" w:hanging="720"/>
      </w:pPr>
      <w:r>
        <w:rPr>
          <w:sz w:val="19"/>
        </w:rPr>
        <w:t>Sculley, D., Holt, G., Golovin, D., Davydov, E., Phillips, T., Ebner, D., Chaudhary, V., Young, M., Crespo, J. F., &amp; Dennison, D. (2015). Hidden technical debt in machine learning systems. In Advances in Neural Information Processing Systems (NeurIPS 2015) (Vol. 28, pp. 2503–2511). Curran Associates, Inc.</w:t>
      </w:r>
    </w:p>
    <w:p>
      <w:pPr>
        <w:spacing w:after="120"/>
        <w:ind w:left="720" w:hanging="720"/>
      </w:pPr>
      <w:r>
        <w:rPr>
          <w:sz w:val="19"/>
        </w:rPr>
        <w:t>Zaharia, M., Chen, A., Davidson, A., Ghodsi, A., Hong, S. A., Konwinski, A., Murching, S., Nykodym, T., Ogilvie, P., Parkhe, M., Xie, F., &amp; Zumar, C. (2018). Accelerating the machine learning lifecycle with MLflow. IEEE Data Engineering Bulletin, 41(4), 39–45.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