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ind-bold.ttf" ContentType="application/x-font-ttf"/>
  <Override PartName="/word/fonts/Hind-regular.ttf" ContentType="application/x-font-ttf"/>
  <Override PartName="/word/fonts/IBMPlexMono-bold.ttf" ContentType="application/x-font-ttf"/>
  <Override PartName="/word/fonts/IBMPlexMono-boldItalic.ttf" ContentType="application/x-font-ttf"/>
  <Override PartName="/word/fonts/IBMPlexMono-italic.ttf" ContentType="application/x-font-ttf"/>
  <Override PartName="/word/fonts/IBMPlexMono-regular.ttf" ContentType="application/x-font-ttf"/>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5F2"/>
  <w:body>
    <w:p w:rsidR="00000000" w:rsidDel="00000000" w:rsidP="00000000" w:rsidRDefault="00000000" w:rsidRPr="00000000" w14:paraId="00000001">
      <w:pPr>
        <w:pStyle w:val="Heading1"/>
        <w:pageBreakBefore w:val="0"/>
        <w:rPr>
          <w:rFonts w:ascii="IBM Plex Sans" w:cs="IBM Plex Sans" w:eastAsia="IBM Plex Sans" w:hAnsi="IBM Plex Sans"/>
          <w:color w:val="999999"/>
          <w:sz w:val="14"/>
          <w:szCs w:val="14"/>
          <w:highlight w:val="white"/>
        </w:rPr>
      </w:pPr>
      <w:bookmarkStart w:colFirst="0" w:colLast="0" w:name="_w09riado97hl" w:id="0"/>
      <w:bookmarkEnd w:id="0"/>
      <w:r w:rsidDel="00000000" w:rsidR="00000000" w:rsidRPr="00000000">
        <w:rPr>
          <w:rFonts w:ascii="IBM Plex Sans" w:cs="IBM Plex Sans" w:eastAsia="IBM Plex Sans" w:hAnsi="IBM Plex Sans"/>
          <w:color w:val="000000"/>
          <w:sz w:val="30"/>
          <w:szCs w:val="30"/>
          <w:rtl w:val="0"/>
        </w:rPr>
        <w:t xml:space="preserve">MACHINE LEARNING CANVAS</w:t>
      </w:r>
      <w:r w:rsidDel="00000000" w:rsidR="00000000" w:rsidRPr="00000000">
        <w:rPr>
          <w:rFonts w:ascii="IBM Plex Sans" w:cs="IBM Plex Sans" w:eastAsia="IBM Plex Sans" w:hAnsi="IBM Plex Sans"/>
          <w:color w:val="000000"/>
          <w:rtl w:val="0"/>
        </w:rPr>
        <w:t xml:space="preserve"> </w:t>
      </w:r>
      <w:r w:rsidDel="00000000" w:rsidR="00000000" w:rsidRPr="00000000">
        <w:rPr>
          <w:rFonts w:ascii="IBM Plex Sans" w:cs="IBM Plex Sans" w:eastAsia="IBM Plex Sans" w:hAnsi="IBM Plex Sans"/>
          <w:rtl w:val="0"/>
        </w:rPr>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rtl w:val="0"/>
        </w:rPr>
        <w:t xml:space="preserve">  </w:t>
        <w:tab/>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Designed for: </w:t>
      </w:r>
      <w:r w:rsidDel="00000000" w:rsidR="00000000" w:rsidRPr="00000000">
        <w:rPr>
          <w:rFonts w:ascii="IBM Plex Sans" w:cs="IBM Plex Sans" w:eastAsia="IBM Plex Sans" w:hAnsi="IBM Plex Sans"/>
          <w:b/>
          <w:bCs w:val="0"/>
          <w:color w:val="020094"/>
          <w:sz w:val="15"/>
          <w:szCs w:val="14"/>
          <w:highlight w:val="white"/>
          <w:rtl w:val="0"/>
        </w:rPr>
        <w:t xml:space="preserve"> MiBici Guadalajara (AMIM / IMEPLAN) </w:t>
      </w:r>
      <w:r w:rsidDel="00000000" w:rsidR="00000000" w:rsidRPr="00000000">
        <w:rPr>
          <w:rFonts w:ascii="IBM Plex Sans" w:cs="IBM Plex Sans" w:eastAsia="IBM Plex Sans" w:hAnsi="IBM Plex Sans"/>
          <w:b w:val="0"/>
          <w:bCs w:val="0"/>
          <w:color w:val="999999"/>
          <w:sz w:val="14"/>
          <w:szCs w:val="14"/>
          <w:rtl w:val="0"/>
        </w:rPr>
        <w:t xml:space="preserve">   Designed by: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sz w:val="14"/>
          <w:szCs w:val="14"/>
          <w:highlight w:val="white"/>
          <w:rtl w:val="0"/>
        </w:rPr>
        <w:t xml:space="preserve">     </w:t>
      </w:r>
      <w:r w:rsidDel="00000000" w:rsidR="00000000" w:rsidRPr="00000000">
        <w:rPr>
          <w:rFonts w:ascii="IBM Plex Sans" w:cs="IBM Plex Sans" w:eastAsia="IBM Plex Sans" w:hAnsi="IBM Plex Sans"/>
          <w:b/>
          <w:bCs w:val="0"/>
          <w:color w:val="020094"/>
          <w:sz w:val="15"/>
          <w:szCs w:val="14"/>
          <w:highlight w:val="white"/>
          <w:rtl w:val="0"/>
        </w:rPr>
        <w:t xml:space="preserve"> Equipo 30 - TC5061 </w:t>
      </w:r>
      <w:r w:rsidDel="00000000" w:rsidR="00000000" w:rsidRPr="00000000">
        <w:rPr>
          <w:rFonts w:ascii="IBM Plex Sans" w:cs="IBM Plex Sans" w:eastAsia="IBM Plex Sans" w:hAnsi="IBM Plex Sans"/>
          <w:b w:val="0"/>
          <w:bCs w:val="0"/>
          <w:color w:val="999999"/>
          <w:sz w:val="14"/>
          <w:szCs w:val="14"/>
          <w:rtl w:val="0"/>
        </w:rPr>
        <w:t xml:space="preserve">     Date: </w:t>
      </w:r>
      <w:r w:rsidDel="00000000" w:rsidR="00000000" w:rsidRPr="00000000">
        <w:rPr>
          <w:rFonts w:ascii="IBM Plex Sans" w:cs="IBM Plex Sans" w:eastAsia="IBM Plex Sans" w:hAnsi="IBM Plex Sans"/>
          <w:b/>
          <w:bCs w:val="0"/>
          <w:color w:val="020094"/>
          <w:sz w:val="15"/>
          <w:szCs w:val="14"/>
          <w:highlight w:val="white"/>
          <w:rtl w:val="0"/>
        </w:rPr>
        <w:t xml:space="preserve"> Octubre 2026 </w:t>
      </w:r>
      <w:r w:rsidDel="00000000" w:rsidR="00000000" w:rsidRPr="00000000">
        <w:rPr>
          <w:rFonts w:ascii="IBM Plex Sans" w:cs="IBM Plex Sans" w:eastAsia="IBM Plex Sans" w:hAnsi="IBM Plex Sans"/>
          <w:b w:val="0"/>
          <w:bCs w:val="0"/>
          <w:color w:val="999999"/>
          <w:sz w:val="14"/>
          <w:szCs w:val="14"/>
          <w:rtl w:val="0"/>
        </w:rPr>
        <w:t xml:space="preserve">  Iteration: </w:t>
      </w:r>
      <w:r w:rsidDel="00000000" w:rsidR="00000000" w:rsidRPr="00000000">
        <w:rPr>
          <w:rFonts w:ascii="IBM Plex Sans" w:cs="IBM Plex Sans" w:eastAsia="IBM Plex Sans" w:hAnsi="IBM Plex Sans"/>
          <w:b/>
          <w:bCs w:val="0"/>
          <w:color w:val="020094"/>
          <w:sz w:val="15"/>
          <w:szCs w:val="14"/>
          <w:highlight w:val="white"/>
          <w:rtl w:val="0"/>
        </w:rPr>
        <w:t xml:space="preserve"> v1.0 (2025-2026).</w:t>
      </w:r>
      <w:r w:rsidDel="00000000" w:rsidR="00000000" w:rsidRPr="00000000">
        <w:rPr>
          <w:rtl w:val="0"/>
        </w:rPr>
      </w:r>
    </w:p>
    <w:tbl>
      <w:tblPr>
        <w:tblStyle w:val="Table1"/>
        <w:tblW w:w="14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80"/>
        <w:gridCol w:w="2880"/>
        <w:gridCol w:w="2880"/>
        <w:gridCol w:w="2880"/>
        <w:tblGridChange w:id="0">
          <w:tblGrid>
            <w:gridCol w:w="2955"/>
            <w:gridCol w:w="2880"/>
            <w:gridCol w:w="2880"/>
            <w:gridCol w:w="2880"/>
            <w:gridCol w:w="2880"/>
          </w:tblGrid>
        </w:tblGridChange>
      </w:tblGrid>
      <w:tr>
        <w:trPr>
          <w:cantSplit w:val="0"/>
          <w:trHeight w:val="4140" w:hRule="atLeast"/>
          <w:tblHeader w:val="0"/>
        </w:trPr>
        <w:tc>
          <w:tcPr>
            <w:tcBorders>
              <w:top w:color="000000" w:space="0" w:sz="24" w:val="single"/>
              <w:lef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pageBreakBefore w:val="0"/>
              <w:rPr>
                <w:rFonts w:ascii="IBM Plex Sans" w:cs="IBM Plex Sans" w:eastAsia="IBM Plex Sans" w:hAnsi="IBM Plex Sans"/>
              </w:rPr>
            </w:pPr>
            <w:bookmarkStart w:colFirst="0" w:colLast="0" w:name="_1h1dkvi2yfu9" w:id="1"/>
            <w:bookmarkEnd w:id="1"/>
            <w:r w:rsidDel="00000000" w:rsidR="00000000" w:rsidRPr="00000000">
              <w:rPr>
                <w:rFonts w:ascii="IBM Plex Sans" w:cs="IBM Plex Sans" w:eastAsia="IBM Plex Sans" w:hAnsi="IBM Plex Sans"/>
                <w:rtl w:val="0"/>
              </w:rPr>
              <w:t xml:space="preserve">PREDICTION TASK</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3">
            <w:pPr>
              <w:pStyle w:val="Heading3"/>
              <w:pageBreakBefore w:val="0"/>
              <w:spacing w:after="200" w:lineRule="auto"/>
              <w:rPr>
                <w:rFonts w:ascii="IBM Plex Sans" w:cs="IBM Plex Sans" w:eastAsia="IBM Plex Sans" w:hAnsi="IBM Plex Sans"/>
                <w:color w:val="999999"/>
                <w:sz w:val="14"/>
                <w:szCs w:val="14"/>
              </w:rPr>
            </w:pPr>
            <w:bookmarkStart w:colFirst="0" w:colLast="0" w:name="_ey8zlrtsndyk" w:id="2"/>
            <w:bookmarkEnd w:id="2"/>
            <w:r w:rsidDel="00000000" w:rsidR="00000000" w:rsidRPr="00000000">
              <w:rPr>
                <w:rFonts w:ascii="IBM Plex Sans" w:cs="IBM Plex Sans" w:eastAsia="IBM Plex Sans" w:hAnsi="IBM Plex Sans"/>
                <w:color w:val="999999"/>
                <w:sz w:val="14"/>
                <w:szCs w:val="14"/>
                <w:rtl w:val="0"/>
              </w:rPr>
              <w:t xml:space="preserve">What is the type of task?</w:t>
              <w:br w:type="textWrapping"/>
              <w:t xml:space="preserve">Which entity are predictions made on?</w:t>
              <w:br w:type="textWrapping"/>
              <w:t xml:space="preserve">What are the possible outcomes to predict?</w:t>
              <w:br w:type="textWrapping"/>
              <w:t xml:space="preserve">When are outcomes observed?</w:t>
              <w:br w:type="textWrapping"/>
            </w:r>
          </w:p>
          <w:p w:rsidR="00000000" w:rsidDel="00000000" w:rsidP="00000000" w:rsidRDefault="00000000" w:rsidRPr="00000000" w14:paraId="00000004">
            <w:pPr>
              <w:pageBreakBefore w:val="0"/>
              <w:spacing w:after="30" w:lineRule="auto" w:before="10" w:line="252"/>
              <w:jc w:val="left"/>
              <w:rPr>
                <w:rFonts w:ascii="IBM Plex Sans" w:cs="IBM Plex Sans" w:eastAsia="IBM Plex Sans" w:hAnsi="IBM Plex Sans"/>
                <w:color w:val="020094"/>
                <w:sz w:val="26"/>
                <w:szCs w:val="26"/>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Tipo de Tarea: </w:t>
            </w:r>
            <w:r>
              <w:rPr>
                <w:rFonts w:ascii="IBM Plex Sans" w:hAnsi="IBM Plex Sans" w:cs="IBM Plex Sans"/>
                <w:b w:val="0"/>
                <w:color w:val="020094"/>
                <w:sz w:val="15"/>
              </w:rPr>
              <w:t>Clasificación Multiclase Supervisada con ventana predictiva de 2 horas (t+1, t+2).</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Entidad: </w:t>
            </w:r>
            <w:r>
              <w:rPr>
                <w:rFonts w:ascii="IBM Plex Sans" w:hAnsi="IBM Plex Sans" w:cs="IBM Plex Sans"/>
                <w:b w:val="0"/>
                <w:color w:val="020094"/>
                <w:sz w:val="15"/>
              </w:rPr>
              <w:t>Par estación-hora (s, t) para 470 estaciones activas de la red MiBici en el AMG.</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Target Operativo: </w:t>
            </w:r>
            <w:r>
              <w:rPr>
                <w:rFonts w:ascii="IBM Plex Sans" w:hAnsi="IBM Plex Sans" w:cs="IBM Plex Sans"/>
                <w:b w:val="0"/>
                <w:color w:val="020094"/>
                <w:sz w:val="15"/>
              </w:rPr>
              <w:t>Ratio neto sobre capacidad: Ratio = Δnet / Capacidad_estación.</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Clases: </w:t>
            </w:r>
            <w:r>
              <w:rPr>
                <w:rFonts w:ascii="IBM Plex Sans" w:hAnsi="IBM Plex Sans" w:cs="IBM Plex Sans"/>
                <w:b w:val="0"/>
                <w:color w:val="020094"/>
                <w:sz w:val="15"/>
              </w:rPr>
              <w:t>Clase 1 (Desabasto/Vacío): Ratio ≤ -0.50 | Clase 2 (Saturación/Lleno): Ratio ≥ 0.50 | Clase 0 (Normal): -0.50 &lt; Ratio &lt; 0.50.</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Observación: </w:t>
            </w:r>
            <w:r>
              <w:rPr>
                <w:rFonts w:ascii="IBM Plex Sans" w:hAnsi="IBM Plex Sans" w:cs="IBM Plex Sans"/>
                <w:b w:val="0"/>
                <w:color w:val="020094"/>
                <w:sz w:val="15"/>
              </w:rPr>
              <w:t>Constatable 2 horas después de la inferencia al consolidar los viajes reales cerrados.</w:t>
            </w:r>
          </w:p>
        </w:tc>
        <w:tc>
          <w:tcPr>
            <w:tcBorders>
              <w:top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pageBreakBefore w:val="0"/>
              <w:rPr>
                <w:rFonts w:ascii="IBM Plex Sans" w:cs="IBM Plex Sans" w:eastAsia="IBM Plex Sans" w:hAnsi="IBM Plex Sans"/>
              </w:rPr>
            </w:pPr>
            <w:bookmarkStart w:colFirst="0" w:colLast="0" w:name="_zi43bbo66xa8" w:id="3"/>
            <w:bookmarkEnd w:id="3"/>
            <w:r w:rsidDel="00000000" w:rsidR="00000000" w:rsidRPr="00000000">
              <w:rPr>
                <w:rFonts w:ascii="IBM Plex Sans" w:cs="IBM Plex Sans" w:eastAsia="IBM Plex Sans" w:hAnsi="IBM Plex Sans"/>
                <w:rtl w:val="0"/>
              </w:rPr>
              <w:t xml:space="preserve">DECISIONS</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6">
            <w:pPr>
              <w:pStyle w:val="Heading3"/>
              <w:pageBreakBefore w:val="0"/>
              <w:spacing w:after="200" w:lineRule="auto"/>
              <w:rPr>
                <w:rFonts w:ascii="IBM Plex Sans" w:cs="IBM Plex Sans" w:eastAsia="IBM Plex Sans" w:hAnsi="IBM Plex Sans"/>
                <w:color w:val="999999"/>
                <w:sz w:val="14"/>
                <w:szCs w:val="14"/>
              </w:rPr>
            </w:pPr>
            <w:bookmarkStart w:colFirst="0" w:colLast="0" w:name="_n3znq0gcdzbg" w:id="4"/>
            <w:bookmarkEnd w:id="4"/>
            <w:r w:rsidDel="00000000" w:rsidR="00000000" w:rsidRPr="00000000">
              <w:rPr>
                <w:rFonts w:ascii="IBM Plex Sans" w:cs="IBM Plex Sans" w:eastAsia="IBM Plex Sans" w:hAnsi="IBM Plex Sans"/>
                <w:color w:val="999999"/>
                <w:sz w:val="14"/>
                <w:szCs w:val="14"/>
                <w:rtl w:val="0"/>
              </w:rPr>
              <w:t xml:space="preserve">How are predictions turned into actionable recommendations or decisions for the end-user? (Mention parameters of the process / application for this.)</w:t>
            </w:r>
          </w:p>
          <w:p w:rsidR="00000000" w:rsidDel="00000000" w:rsidP="00000000" w:rsidRDefault="00000000" w:rsidRPr="00000000" w14:paraId="00000007">
            <w:pPr>
              <w:pageBreakBefore w:val="0"/>
              <w:spacing w:after="30" w:lineRule="auto" w:before="10" w:line="252"/>
              <w:jc w:val="left"/>
              <w:rPr>
                <w:rFonts w:ascii="IBM Plex Sans" w:cs="IBM Plex Sans" w:eastAsia="IBM Plex Sans" w:hAnsi="IBM Plex Sans"/>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Regla de Activación: </w:t>
            </w:r>
            <w:r>
              <w:rPr>
                <w:rFonts w:ascii="IBM Plex Sans" w:hAnsi="IBM Plex Sans" w:cs="IBM Plex Sans"/>
                <w:b w:val="0"/>
                <w:color w:val="020094"/>
                <w:sz w:val="15"/>
              </w:rPr>
              <w:t>Alerta preventiva si probabilidad P(Desabasto) ≥ 0.50 o P(Saturación) ≥ 0.50.</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Priorización: </w:t>
            </w:r>
            <w:r>
              <w:rPr>
                <w:rFonts w:ascii="IBM Plex Sans" w:hAnsi="IBM Plex Sans" w:cs="IBM Plex Sans"/>
                <w:b w:val="0"/>
                <w:color w:val="020094"/>
                <w:sz w:val="15"/>
              </w:rPr>
              <w:t>Severidad = P(Riesgo) × Capacidad, ordenando la cola de atención del CCO.</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Acción en Campo: </w:t>
            </w:r>
            <w:r>
              <w:rPr>
                <w:rFonts w:ascii="IBM Plex Sans" w:hAnsi="IBM Plex Sans" w:cs="IBM Plex Sans"/>
                <w:b w:val="0"/>
                <w:color w:val="020094"/>
                <w:sz w:val="15"/>
              </w:rPr>
              <w:t>Despacho proactivo de cuadrillas: abastecer bicis antes de desabasto o retirar antes de saturar anclajes.</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Grupo de Control: </w:t>
            </w:r>
            <w:r>
              <w:rPr>
                <w:rFonts w:ascii="IBM Plex Sans" w:hAnsi="IBM Plex Sans" w:cs="IBM Plex Sans"/>
                <w:b w:val="0"/>
                <w:color w:val="020094"/>
                <w:sz w:val="15"/>
              </w:rPr>
              <w:t>5% de estaciones críticas excluidas aleatoriamente para evaluar contrafactual de impacto.</w:t>
            </w:r>
          </w:p>
        </w:tc>
        <w:tc>
          <w:tcPr>
            <w:tcBorders>
              <w:top w:color="000000" w:space="0" w:sz="24" w:val="single"/>
              <w:left w:color="000000" w:space="0" w:sz="12" w:val="single"/>
              <w:bottom w:color="000000" w:space="0" w:sz="0" w:val="nil"/>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pageBreakBefore w:val="0"/>
              <w:rPr>
                <w:rFonts w:ascii="IBM Plex Sans" w:cs="IBM Plex Sans" w:eastAsia="IBM Plex Sans" w:hAnsi="IBM Plex Sans"/>
              </w:rPr>
            </w:pPr>
            <w:bookmarkStart w:colFirst="0" w:colLast="0" w:name="_2awhjch1rrw2" w:id="5"/>
            <w:bookmarkEnd w:id="5"/>
            <w:r w:rsidDel="00000000" w:rsidR="00000000" w:rsidRPr="00000000">
              <w:rPr>
                <w:rFonts w:ascii="IBM Plex Sans" w:cs="IBM Plex Sans" w:eastAsia="IBM Plex Sans" w:hAnsi="IBM Plex Sans"/>
                <w:rtl w:val="0"/>
              </w:rPr>
              <w:t xml:space="preserve">VALUE PROPOSITION</w:t>
            </w:r>
            <w:r w:rsidDel="00000000" w:rsidR="00000000" w:rsidRPr="00000000">
              <w:drawing>
                <wp:anchor allowOverlap="1" behindDoc="0" distB="0" distT="0" distL="0" distR="0" hidden="0" layoutInCell="1" locked="0" relativeHeight="0" simplePos="0">
                  <wp:simplePos x="0" y="0"/>
                  <wp:positionH relativeFrom="column">
                    <wp:posOffset>1333500</wp:posOffset>
                  </wp:positionH>
                  <wp:positionV relativeFrom="paragraph">
                    <wp:posOffset>0</wp:posOffset>
                  </wp:positionV>
                  <wp:extent cx="360000" cy="360000"/>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0000" cy="360000"/>
                          </a:xfrm>
                          <a:prstGeom prst="rect"/>
                          <a:ln/>
                        </pic:spPr>
                      </pic:pic>
                    </a:graphicData>
                  </a:graphic>
                </wp:anchor>
              </w:drawing>
            </w:r>
          </w:p>
          <w:p w:rsidR="00000000" w:rsidDel="00000000" w:rsidP="00000000" w:rsidRDefault="00000000" w:rsidRPr="00000000" w14:paraId="00000009">
            <w:pPr>
              <w:pStyle w:val="Heading3"/>
              <w:rPr>
                <w:rFonts w:ascii="IBM Plex Sans" w:cs="IBM Plex Sans" w:eastAsia="IBM Plex Sans" w:hAnsi="IBM Plex Sans"/>
                <w:color w:val="999999"/>
                <w:sz w:val="14"/>
                <w:szCs w:val="14"/>
              </w:rPr>
            </w:pPr>
            <w:bookmarkStart w:colFirst="0" w:colLast="0" w:name="_dxjs2hhn8jih" w:id="6"/>
            <w:bookmarkEnd w:id="6"/>
            <w:r w:rsidDel="00000000" w:rsidR="00000000" w:rsidRPr="00000000">
              <w:rPr>
                <w:rFonts w:ascii="IBM Plex Sans" w:cs="IBM Plex Sans" w:eastAsia="IBM Plex Sans" w:hAnsi="IBM Plex Sans"/>
                <w:sz w:val="14"/>
                <w:szCs w:val="14"/>
                <w:rtl w:val="0"/>
              </w:rPr>
              <w:t xml:space="preserve">Who is the end beneficiary, and what specific pain points are addressed?</w:t>
              <w:br w:type="textWrapping"/>
              <w:t xml:space="preserve">How will the ML solution integrate with their workflow, and through which user interfaces?</w:t>
            </w:r>
            <w:r w:rsidDel="00000000" w:rsidR="00000000" w:rsidRPr="00000000">
              <w:rPr>
                <w:rtl w:val="0"/>
              </w:rPr>
            </w:r>
          </w:p>
          <w:p w:rsidR="00000000" w:rsidDel="00000000" w:rsidP="00000000" w:rsidRDefault="00000000" w:rsidRPr="00000000" w14:paraId="0000000A">
            <w:pPr>
              <w:pageBreakBefore w:val="0"/>
              <w:spacing w:after="30" w:lineRule="auto" w:before="10" w:line="252"/>
              <w:jc w:val="left"/>
              <w:rPr>
                <w:rFonts w:ascii="IBM Plex Sans" w:cs="IBM Plex Sans" w:eastAsia="IBM Plex Sans" w:hAnsi="IBM Plex Sans"/>
                <w:color w:val="020094"/>
                <w:sz w:val="28"/>
                <w:szCs w:val="28"/>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Beneficiarios: </w:t>
            </w:r>
            <w:r>
              <w:rPr>
                <w:rFonts w:ascii="IBM Plex Sans" w:hAnsi="IBM Plex Sans" w:cs="IBM Plex Sans"/>
                <w:b w:val="0"/>
                <w:color w:val="020094"/>
                <w:sz w:val="15"/>
              </w:rPr>
              <w:t>Despachadores del CCO, cuadrillas de balanceo en campo y ciclistas urbanos del AMG.</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Puntos de Dolor: </w:t>
            </w:r>
            <w:r>
              <w:rPr>
                <w:rFonts w:ascii="IBM Plex Sans" w:hAnsi="IBM Plex Sans" w:cs="IBM Plex Sans"/>
                <w:b w:val="0"/>
                <w:color w:val="020094"/>
                <w:sz w:val="15"/>
              </w:rPr>
              <w:t>Elimina el rebalanceo puramente reactivo tras quejas ciudadanas. Reduce viajes frustrados por falta de bicis o anclajes libres.</w:t>
            </w:r>
          </w:p>
        </w:tc>
        <w:tc>
          <w:tcPr>
            <w:tcBorders>
              <w:top w:color="000000" w:space="0" w:sz="24" w:val="single"/>
              <w:lef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pageBreakBefore w:val="0"/>
              <w:rPr>
                <w:rFonts w:ascii="IBM Plex Sans" w:cs="IBM Plex Sans" w:eastAsia="IBM Plex Sans" w:hAnsi="IBM Plex Sans"/>
              </w:rPr>
            </w:pPr>
            <w:bookmarkStart w:colFirst="0" w:colLast="0" w:name="_xadehxe6m08r" w:id="7"/>
            <w:bookmarkEnd w:id="7"/>
            <w:r w:rsidDel="00000000" w:rsidR="00000000" w:rsidRPr="00000000">
              <w:rPr>
                <w:rFonts w:ascii="IBM Plex Sans" w:cs="IBM Plex Sans" w:eastAsia="IBM Plex Sans" w:hAnsi="IBM Plex Sans"/>
                <w:rtl w:val="0"/>
              </w:rPr>
              <w:t xml:space="preserve">DATA COLLECTION</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C">
            <w:pPr>
              <w:pStyle w:val="Heading3"/>
              <w:rPr>
                <w:rFonts w:ascii="IBM Plex Sans" w:cs="IBM Plex Sans" w:eastAsia="IBM Plex Sans" w:hAnsi="IBM Plex Sans"/>
                <w:color w:val="999999"/>
                <w:sz w:val="14"/>
                <w:szCs w:val="14"/>
              </w:rPr>
            </w:pPr>
            <w:bookmarkStart w:colFirst="0" w:colLast="0" w:name="_bycxw25eie8y" w:id="8"/>
            <w:bookmarkEnd w:id="8"/>
            <w:r w:rsidDel="00000000" w:rsidR="00000000" w:rsidRPr="00000000">
              <w:rPr>
                <w:rFonts w:ascii="IBM Plex Sans" w:cs="IBM Plex Sans" w:eastAsia="IBM Plex Sans" w:hAnsi="IBM Plex Sans"/>
                <w:sz w:val="14"/>
                <w:szCs w:val="14"/>
                <w:rtl w:val="0"/>
              </w:rPr>
              <w:t xml:space="preserve">How is the initial set of entities and outcomes sourced (e.g., database extracts, API pulls, manual labeling)?</w:t>
              <w:br w:type="textWrapping"/>
              <w:t xml:space="preserve">What strategies are in place to update data continuously while controlling cost and maintaining freshness?</w:t>
            </w:r>
            <w:r w:rsidDel="00000000" w:rsidR="00000000" w:rsidRPr="00000000">
              <w:rPr>
                <w:rtl w:val="0"/>
              </w:rPr>
            </w:r>
          </w:p>
          <w:p w:rsidR="00000000" w:rsidDel="00000000" w:rsidP="00000000" w:rsidRDefault="00000000" w:rsidRPr="00000000" w14:paraId="0000000D">
            <w:pPr>
              <w:pageBreakBefore w:val="0"/>
              <w:spacing w:after="30" w:lineRule="auto" w:before="10" w:line="252"/>
              <w:jc w:val="left"/>
              <w:rPr>
                <w:rFonts w:ascii="IBM Plex Sans" w:cs="IBM Plex Sans" w:eastAsia="IBM Plex Sans" w:hAnsi="IBM Plex Sans"/>
                <w:sz w:val="14"/>
                <w:szCs w:val="14"/>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Origen Inicial: </w:t>
            </w:r>
            <w:r>
              <w:rPr>
                <w:rFonts w:ascii="IBM Plex Sans" w:hAnsi="IBM Plex Sans" w:cs="IBM Plex Sans"/>
                <w:b w:val="0"/>
                <w:color w:val="020094"/>
                <w:sz w:val="15"/>
              </w:rPr>
              <w:t>Scraping y descarga automatizada (src/data/p2_download_raw_data.py) del portal de Datos Abiertos MiBici.</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Volumen Histórico: </w:t>
            </w:r>
            <w:r>
              <w:rPr>
                <w:rFonts w:ascii="IBM Plex Sans" w:hAnsi="IBM Plex Sans" w:cs="IBM Plex Sans"/>
                <w:b w:val="0"/>
                <w:color w:val="020094"/>
                <w:sz w:val="15"/>
              </w:rPr>
              <w:t>21 archivos mensuales de viajes (2025 completo + 2026 hasta sep: 7.89M viajes) y catálogo nomenclatura 2026_09.</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Versionado Criptográfico: </w:t>
            </w:r>
            <w:r>
              <w:rPr>
                <w:rFonts w:ascii="IBM Plex Sans" w:hAnsi="IBM Plex Sans" w:cs="IBM Plex Sans"/>
                <w:b w:val="0"/>
                <w:color w:val="020094"/>
                <w:sz w:val="15"/>
              </w:rPr>
              <w:t>Manifiesto en references/p2_data_manifest.json con SHA-256 (Versión: p2-mibici-v2025_2026-ddfa3aa49c).</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Estrategia Continua: </w:t>
            </w:r>
            <w:r>
              <w:rPr>
                <w:rFonts w:ascii="IBM Plex Sans" w:hAnsi="IBM Plex Sans" w:cs="IBM Plex Sans"/>
                <w:b w:val="0"/>
                <w:color w:val="020094"/>
                <w:sz w:val="15"/>
              </w:rPr>
              <w:t>Micro-lotes incrementales horarios guardados en Parquet con compresión Snappy para costo mínimo de I/O.</w:t>
            </w:r>
          </w:p>
        </w:tc>
        <w:tc>
          <w:tcPr>
            <w:tcBorders>
              <w:top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pageBreakBefore w:val="0"/>
              <w:rPr>
                <w:rFonts w:ascii="IBM Plex Sans" w:cs="IBM Plex Sans" w:eastAsia="IBM Plex Sans" w:hAnsi="IBM Plex Sans"/>
              </w:rPr>
            </w:pPr>
            <w:bookmarkStart w:colFirst="0" w:colLast="0" w:name="_akf661vjm278" w:id="9"/>
            <w:bookmarkEnd w:id="9"/>
            <w:r w:rsidDel="00000000" w:rsidR="00000000" w:rsidRPr="00000000">
              <w:rPr>
                <w:rFonts w:ascii="IBM Plex Sans" w:cs="IBM Plex Sans" w:eastAsia="IBM Plex Sans" w:hAnsi="IBM Plex Sans"/>
                <w:rtl w:val="0"/>
              </w:rPr>
              <w:t xml:space="preserve">DATA SOURCES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F">
            <w:pPr>
              <w:pStyle w:val="Heading3"/>
              <w:pageBreakBefore w:val="0"/>
              <w:spacing w:after="200" w:lineRule="auto"/>
              <w:rPr>
                <w:rFonts w:ascii="IBM Plex Sans" w:cs="IBM Plex Sans" w:eastAsia="IBM Plex Sans" w:hAnsi="IBM Plex Sans"/>
                <w:color w:val="999999"/>
                <w:sz w:val="14"/>
                <w:szCs w:val="14"/>
              </w:rPr>
            </w:pPr>
            <w:bookmarkStart w:colFirst="0" w:colLast="0" w:name="_3ktfmkup4get" w:id="10"/>
            <w:bookmarkEnd w:id="10"/>
            <w:r w:rsidDel="00000000" w:rsidR="00000000" w:rsidRPr="00000000">
              <w:rPr>
                <w:rFonts w:ascii="IBM Plex Sans" w:cs="IBM Plex Sans" w:eastAsia="IBM Plex Sans" w:hAnsi="IBM Plex Sans"/>
                <w:color w:val="999999"/>
                <w:sz w:val="14"/>
                <w:szCs w:val="14"/>
                <w:rtl w:val="0"/>
              </w:rPr>
              <w:t xml:space="preserve">Where can we get data on entities and observed outcomes? (Mention internal and external database tables or API methods.)</w:t>
            </w:r>
          </w:p>
          <w:p w:rsidR="00000000" w:rsidDel="00000000" w:rsidP="00000000" w:rsidRDefault="00000000" w:rsidRPr="00000000" w14:paraId="00000010">
            <w:pPr>
              <w:pageBreakBefore w:val="0"/>
              <w:spacing w:after="30" w:lineRule="auto" w:before="10" w:line="252"/>
              <w:jc w:val="left"/>
              <w:rPr>
                <w:rFonts w:ascii="IBM Plex Sans" w:cs="IBM Plex Sans" w:eastAsia="IBM Plex Sans" w:hAnsi="IBM Plex Sans"/>
                <w:i w:val="1"/>
                <w:iCs w:val="1"/>
                <w:color w:val="999999"/>
                <w:sz w:val="14"/>
                <w:szCs w:val="14"/>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Histórico Transaccional: </w:t>
            </w:r>
            <w:r>
              <w:rPr>
                <w:rFonts w:ascii="IBM Plex Sans" w:hAnsi="IBM Plex Sans" w:cs="IBM Plex Sans"/>
                <w:b w:val="0"/>
                <w:color w:val="020094"/>
                <w:sz w:val="15"/>
              </w:rPr>
              <w:t>Tablas de viajes MiBici: Viaje_Id, Inicio_del_viaje, Fin_del_viaje, Origen_Id, Destino_Id, Usuario_Id.</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Catálogo de Infraestructura: </w:t>
            </w:r>
            <w:r>
              <w:rPr>
                <w:rFonts w:ascii="IBM Plex Sans" w:hAnsi="IBM Plex Sans" w:cs="IBM Plex Sans"/>
                <w:b w:val="0"/>
                <w:color w:val="020094"/>
                <w:sz w:val="15"/>
              </w:rPr>
              <w:t>Estaciones en nomenclatura_2026_09.csv: id, name, latitude, longitude, dpcapacity (capacidad física).</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Calendario Oficial: </w:t>
            </w:r>
            <w:r>
              <w:rPr>
                <w:rFonts w:ascii="IBM Plex Sans" w:hAnsi="IBM Plex Sans" w:cs="IBM Plex Sans"/>
                <w:b w:val="0"/>
                <w:color w:val="020094"/>
                <w:sz w:val="15"/>
              </w:rPr>
              <w:t>Días laborales, fines de semana, festivos oficiales y ciclovías recreativas dominicales del AMG.</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Datos Climáticos (Ext): </w:t>
            </w:r>
            <w:r>
              <w:rPr>
                <w:rFonts w:ascii="IBM Plex Sans" w:hAnsi="IBM Plex Sans" w:cs="IBM Plex Sans"/>
                <w:b w:val="0"/>
                <w:color w:val="020094"/>
                <w:sz w:val="15"/>
              </w:rPr>
              <w:t>API meteorológica local (precipitación y temperatura) como covariables exógenas de demanda.</w:t>
            </w:r>
          </w:p>
        </w:tc>
      </w:tr>
      <w:tr>
        <w:trPr>
          <w:cantSplit w:val="0"/>
          <w:trHeight w:val="4215" w:hRule="atLeast"/>
          <w:tblHeader w:val="0"/>
        </w:trPr>
        <w:tc>
          <w:tcPr>
            <w:tcBorders>
              <w:left w:color="000000" w:space="0" w:sz="24" w:val="single"/>
              <w:bottom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pageBreakBefore w:val="0"/>
              <w:rPr>
                <w:rFonts w:ascii="IBM Plex Sans" w:cs="IBM Plex Sans" w:eastAsia="IBM Plex Sans" w:hAnsi="IBM Plex Sans"/>
              </w:rPr>
            </w:pPr>
            <w:bookmarkStart w:colFirst="0" w:colLast="0" w:name="_vz9cpjafdrq5" w:id="11"/>
            <w:bookmarkEnd w:id="11"/>
            <w:r w:rsidDel="00000000" w:rsidR="00000000" w:rsidRPr="00000000">
              <w:rPr>
                <w:rFonts w:ascii="IBM Plex Sans" w:cs="IBM Plex Sans" w:eastAsia="IBM Plex Sans" w:hAnsi="IBM Plex Sans"/>
                <w:rtl w:val="0"/>
              </w:rPr>
              <w:t xml:space="preserve">IMPACT SIMULATION</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2">
            <w:pPr>
              <w:pStyle w:val="Heading3"/>
              <w:pageBreakBefore w:val="0"/>
              <w:spacing w:after="200" w:lineRule="auto"/>
              <w:rPr>
                <w:rFonts w:ascii="IBM Plex Sans" w:cs="IBM Plex Sans" w:eastAsia="IBM Plex Sans" w:hAnsi="IBM Plex Sans"/>
                <w:color w:val="999999"/>
                <w:sz w:val="14"/>
                <w:szCs w:val="14"/>
              </w:rPr>
            </w:pPr>
            <w:bookmarkStart w:colFirst="0" w:colLast="0" w:name="_q0my9hts6rr1" w:id="12"/>
            <w:bookmarkEnd w:id="12"/>
            <w:r w:rsidDel="00000000" w:rsidR="00000000" w:rsidRPr="00000000">
              <w:rPr>
                <w:rFonts w:ascii="IBM Plex Sans" w:cs="IBM Plex Sans" w:eastAsia="IBM Plex Sans" w:hAnsi="IBM Plex Sans"/>
                <w:color w:val="999999"/>
                <w:sz w:val="14"/>
                <w:szCs w:val="14"/>
                <w:rtl w:val="0"/>
              </w:rPr>
              <w:t xml:space="preserve">What are the cost/gain values for (in)correct decisions?</w:t>
              <w:br w:type="textWrapping"/>
              <w:t xml:space="preserve">Which data is used to simulate pre-deployment impact?</w:t>
              <w:br w:type="textWrapping"/>
              <w:t xml:space="preserve">What are the criteria for deployment?</w:t>
              <w:br w:type="textWrapping"/>
              <w:t xml:space="preserve">Are there fairness constraints?</w:t>
            </w:r>
          </w:p>
          <w:p w:rsidR="00000000" w:rsidDel="00000000" w:rsidP="00000000" w:rsidRDefault="00000000" w:rsidRPr="00000000" w14:paraId="00000013">
            <w:pPr>
              <w:pageBreakBefore w:val="0"/>
              <w:spacing w:after="30" w:lineRule="auto" w:before="10" w:line="252"/>
              <w:jc w:val="left"/>
              <w:rPr>
                <w:rFonts w:ascii="IBM Plex Sans" w:cs="IBM Plex Sans" w:eastAsia="IBM Plex Sans" w:hAnsi="IBM Plex Sans"/>
                <w:color w:val="020094"/>
                <w:sz w:val="28"/>
                <w:szCs w:val="28"/>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Costos Asimétricos: </w:t>
            </w:r>
            <w:r>
              <w:rPr>
                <w:rFonts w:ascii="IBM Plex Sans" w:hAnsi="IBM Plex Sans" w:cs="IBM Plex Sans"/>
                <w:b w:val="0"/>
                <w:color w:val="020094"/>
                <w:sz w:val="15"/>
              </w:rPr>
              <w:t>FN (Crítico): Usuario varado sin bici/anclaje; daño reputacional y desuso. FP (Bajo): Inspección preventiva a estación con holgura (&lt; $50 MXN marginales).</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Datos de Simulación: </w:t>
            </w:r>
            <w:r>
              <w:rPr>
                <w:rFonts w:ascii="IBM Plex Sans" w:hAnsi="IBM Plex Sans" w:cs="IBM Plex Sans"/>
                <w:b w:val="0"/>
                <w:color w:val="020094"/>
                <w:sz w:val="15"/>
              </w:rPr>
              <w:t>Partición cronológica estricta: Train 2025 (4.04M registros) y Test/Simulación Ene-Sep 2026 (3.08M registros).</w:t>
            </w:r>
          </w:p>
        </w:tc>
        <w:tc>
          <w:tcPr>
            <w:tcBorders>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rPr>
                <w:rFonts w:ascii="IBM Plex Sans" w:cs="IBM Plex Sans" w:eastAsia="IBM Plex Sans" w:hAnsi="IBM Plex Sans"/>
                <w:sz w:val="20"/>
                <w:szCs w:val="20"/>
              </w:rPr>
            </w:pPr>
            <w:bookmarkStart w:colFirst="0" w:colLast="0" w:name="_5s79pjkaaapc" w:id="13"/>
            <w:bookmarkEnd w:id="13"/>
            <w:r w:rsidDel="00000000" w:rsidR="00000000" w:rsidRPr="00000000">
              <w:rPr>
                <w:rFonts w:ascii="IBM Plex Sans" w:cs="IBM Plex Sans" w:eastAsia="IBM Plex Sans" w:hAnsi="IBM Plex Sans"/>
                <w:rtl w:val="0"/>
              </w:rPr>
              <w:t xml:space="preserve">MAKING PREDICTIONS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5">
            <w:pPr>
              <w:pStyle w:val="Heading3"/>
              <w:pageBreakBefore w:val="0"/>
              <w:spacing w:after="200" w:lineRule="auto"/>
              <w:rPr>
                <w:rFonts w:ascii="IBM Plex Sans" w:cs="IBM Plex Sans" w:eastAsia="IBM Plex Sans" w:hAnsi="IBM Plex Sans"/>
                <w:color w:val="999999"/>
                <w:sz w:val="14"/>
                <w:szCs w:val="14"/>
              </w:rPr>
            </w:pPr>
            <w:bookmarkStart w:colFirst="0" w:colLast="0" w:name="_crxt7dvm8btd" w:id="14"/>
            <w:bookmarkEnd w:id="14"/>
            <w:r w:rsidDel="00000000" w:rsidR="00000000" w:rsidRPr="00000000">
              <w:rPr>
                <w:rFonts w:ascii="IBM Plex Sans" w:cs="IBM Plex Sans" w:eastAsia="IBM Plex Sans" w:hAnsi="IBM Plex Sans"/>
                <w:color w:val="999999"/>
                <w:sz w:val="14"/>
                <w:szCs w:val="14"/>
                <w:rtl w:val="0"/>
              </w:rPr>
              <w:t xml:space="preserve">Are predictions made in batch or in real time?</w:t>
              <w:br w:type="textWrapping"/>
              <w:t xml:space="preserve">How frequently?</w:t>
              <w:br w:type="textWrapping"/>
              <w:t xml:space="preserve">How much time is available for this (including featurization and decisions)?</w:t>
              <w:br w:type="textWrapping"/>
              <w:t xml:space="preserve">Which computational resources are used?</w:t>
            </w:r>
          </w:p>
          <w:p w:rsidR="00000000" w:rsidDel="00000000" w:rsidP="00000000" w:rsidRDefault="00000000" w:rsidRPr="00000000" w14:paraId="00000016">
            <w:pPr>
              <w:pageBreakBefore w:val="0"/>
              <w:spacing w:after="30" w:lineRule="auto" w:before="10" w:line="252"/>
              <w:jc w:val="left"/>
              <w:rPr>
                <w:rFonts w:ascii="IBM Plex Sans" w:cs="IBM Plex Sans" w:eastAsia="IBM Plex Sans" w:hAnsi="IBM Plex Sans"/>
                <w:b w:val="1"/>
                <w:bCs w:val="1"/>
                <w:color w:val="020094"/>
                <w:sz w:val="28"/>
                <w:szCs w:val="28"/>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Modo y Frecuencia: </w:t>
            </w:r>
            <w:r>
              <w:rPr>
                <w:rFonts w:ascii="IBM Plex Sans" w:hAnsi="IBM Plex Sans" w:cs="IBM Plex Sans"/>
                <w:b w:val="0"/>
                <w:color w:val="020094"/>
                <w:sz w:val="15"/>
              </w:rPr>
              <w:t>Inferencia por lotes programada (Scheduled Batch Scoring) cada hora en el minuto :55.</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Presupuesto de Tiempo: </w:t>
            </w:r>
            <w:r>
              <w:rPr>
                <w:rFonts w:ascii="IBM Plex Sans" w:hAnsi="IBM Plex Sans" w:cs="IBM Plex Sans"/>
                <w:b w:val="0"/>
                <w:color w:val="020094"/>
                <w:sz w:val="15"/>
              </w:rPr>
              <w:t>Ventana de 60 s. Tiempo real: &lt; 10 s para las 470 estaciones en CPU estándar.</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Recursos Cómputo: </w:t>
            </w:r>
            <w:r>
              <w:rPr>
                <w:rFonts w:ascii="IBM Plex Sans" w:hAnsi="IBM Plex Sans" w:cs="IBM Plex Sans"/>
                <w:b w:val="0"/>
                <w:color w:val="020094"/>
                <w:sz w:val="15"/>
              </w:rPr>
              <w:t>Servidor liviano (1 vCPU, 2 GB RAM). Modelo serializado Joblib de ~3.2 MB.</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Salida Serializada: </w:t>
            </w:r>
            <w:r>
              <w:rPr>
                <w:rFonts w:ascii="IBM Plex Sans" w:hAnsi="IBM Plex Sans" w:cs="IBM Plex Sans"/>
                <w:b w:val="0"/>
                <w:color w:val="020094"/>
                <w:sz w:val="15"/>
              </w:rPr>
              <w:t>Probabilidades [P_normal, P_desabasto, P_saturacion] guardadas en data/processed/p2_test_predictions.parquet.</w:t>
            </w:r>
          </w:p>
        </w:tc>
        <w:tc>
          <w:tcPr>
            <w:tcBorders>
              <w:top w:color="000000" w:space="0" w:sz="0" w:val="nil"/>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30" w:lineRule="auto" w:before="10" w:line="252"/>
              <w:jc w:val="left"/>
              <w:rPr>
                <w:rFonts w:ascii="IBM Plex Sans" w:cs="IBM Plex Sans" w:eastAsia="IBM Plex Sans" w:hAnsi="IBM Plex Sans"/>
                <w:b w:val="1"/>
                <w:bCs w:val="1"/>
                <w:color w:val="020094"/>
                <w:sz w:val="26"/>
                <w:szCs w:val="26"/>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Integración Operativa: </w:t>
            </w:r>
            <w:r>
              <w:rPr>
                <w:rFonts w:ascii="IBM Plex Sans" w:hAnsi="IBM Plex Sans" w:cs="IBM Plex Sans"/>
                <w:b w:val="0"/>
                <w:color w:val="020094"/>
                <w:sz w:val="15"/>
              </w:rPr>
              <w:t>Panel georreferenciado en CCO con semáforo de riesgo e itinerarios en tabletas de cuadrillas 60 min antes del pico.</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Valor Agregado: </w:t>
            </w:r>
            <w:r>
              <w:rPr>
                <w:rFonts w:ascii="IBM Plex Sans" w:hAnsi="IBM Plex Sans" w:cs="IBM Plex Sans"/>
                <w:b w:val="0"/>
                <w:color w:val="020094"/>
                <w:sz w:val="15"/>
              </w:rPr>
              <w:t>Disponibilidad garantizada en horas críticas, fidelización del usuario y optimización de rutas y combustible de la flota.</w:t>
            </w:r>
          </w:p>
        </w:tc>
        <w:tc>
          <w:tcPr>
            <w:tcBorders>
              <w:left w:color="000000" w:space="0" w:sz="12" w:val="single"/>
              <w:bottom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rPr>
                <w:rFonts w:ascii="IBM Plex Sans" w:cs="IBM Plex Sans" w:eastAsia="IBM Plex Sans" w:hAnsi="IBM Plex Sans"/>
              </w:rPr>
            </w:pPr>
            <w:bookmarkStart w:colFirst="0" w:colLast="0" w:name="_81vf84j4p1ue" w:id="15"/>
            <w:bookmarkEnd w:id="15"/>
            <w:r w:rsidDel="00000000" w:rsidR="00000000" w:rsidRPr="00000000">
              <w:rPr>
                <w:rFonts w:ascii="IBM Plex Sans" w:cs="IBM Plex Sans" w:eastAsia="IBM Plex Sans" w:hAnsi="IBM Plex Sans"/>
                <w:rtl w:val="0"/>
              </w:rPr>
              <w:t xml:space="preserve">BUILDING MODELS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9">
            <w:pPr>
              <w:pStyle w:val="Heading3"/>
              <w:pageBreakBefore w:val="0"/>
              <w:spacing w:after="200" w:lineRule="auto"/>
              <w:rPr>
                <w:rFonts w:ascii="IBM Plex Sans" w:cs="IBM Plex Sans" w:eastAsia="IBM Plex Sans" w:hAnsi="IBM Plex Sans"/>
                <w:color w:val="999999"/>
                <w:sz w:val="14"/>
                <w:szCs w:val="14"/>
              </w:rPr>
            </w:pPr>
            <w:bookmarkStart w:colFirst="0" w:colLast="0" w:name="_uqcgz6o8ws7h" w:id="16"/>
            <w:bookmarkEnd w:id="16"/>
            <w:r w:rsidDel="00000000" w:rsidR="00000000" w:rsidRPr="00000000">
              <w:rPr>
                <w:rFonts w:ascii="IBM Plex Sans" w:cs="IBM Plex Sans" w:eastAsia="IBM Plex Sans" w:hAnsi="IBM Plex Sans"/>
                <w:color w:val="999999"/>
                <w:sz w:val="14"/>
                <w:szCs w:val="14"/>
                <w:rtl w:val="0"/>
              </w:rPr>
              <w:t xml:space="preserve">How many models are needed in production?</w:t>
              <w:br w:type="textWrapping"/>
              <w:t xml:space="preserve">When should they be updated?</w:t>
              <w:br w:type="textWrapping"/>
              <w:t xml:space="preserve">How much time is available for this (including featurization and analysis)?</w:t>
              <w:br w:type="textWrapping"/>
              <w:t xml:space="preserve">Which computation resources are used?</w:t>
            </w:r>
          </w:p>
          <w:p w:rsidR="00000000" w:rsidDel="00000000" w:rsidP="00000000" w:rsidRDefault="00000000" w:rsidRPr="00000000" w14:paraId="0000001A">
            <w:pPr>
              <w:pageBreakBefore w:val="0"/>
              <w:spacing w:after="30" w:lineRule="auto" w:before="10" w:line="252"/>
              <w:jc w:val="left"/>
              <w:rPr>
                <w:rFonts w:ascii="IBM Plex Sans" w:cs="IBM Plex Sans" w:eastAsia="IBM Plex Sans" w:hAnsi="IBM Plex Sans"/>
                <w:color w:val="020094"/>
                <w:sz w:val="28"/>
                <w:szCs w:val="28"/>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Arquitectura: </w:t>
            </w:r>
            <w:r>
              <w:rPr>
                <w:rFonts w:ascii="IBM Plex Sans" w:hAnsi="IBM Plex Sans" w:cs="IBM Plex Sans"/>
                <w:b w:val="0"/>
                <w:color w:val="020094"/>
                <w:sz w:val="15"/>
              </w:rPr>
              <w:t>1 modelo global multiclase LGBMClassifier que generaliza patrones compartidos en toda la red de estaciones.</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Manejo de Desbalance: </w:t>
            </w:r>
            <w:r>
              <w:rPr>
                <w:rFonts w:ascii="IBM Plex Sans" w:hAnsi="IBM Plex Sans" w:cs="IBM Plex Sans"/>
                <w:b w:val="0"/>
                <w:color w:val="020094"/>
                <w:sz w:val="15"/>
              </w:rPr>
              <w:t>Ponderación class_weight='balanced' para penalizar fuertemente errores en clases de riesgo (&lt; 1% de prevalencia).</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Cadencia de Actualización: </w:t>
            </w:r>
            <w:r>
              <w:rPr>
                <w:rFonts w:ascii="IBM Plex Sans" w:hAnsi="IBM Plex Sans" w:cs="IBM Plex Sans"/>
                <w:b w:val="0"/>
                <w:color w:val="020094"/>
                <w:sz w:val="15"/>
              </w:rPr>
              <w:t>Re-entrenamiento mensual programado o disparado si Macro F1 móvil &lt; 0.35.</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Cómputo de Entrenamiento: </w:t>
            </w:r>
            <w:r>
              <w:rPr>
                <w:rFonts w:ascii="IBM Plex Sans" w:hAnsi="IBM Plex Sans" w:cs="IBM Plex Sans"/>
                <w:b w:val="0"/>
                <w:color w:val="020094"/>
                <w:sz w:val="15"/>
              </w:rPr>
              <w:t>Ejecutado en ~45 s sobre 4 vCPUs sin GPU; trazabilidad y versionado integral en MLflow.</w:t>
            </w:r>
          </w:p>
        </w:tc>
        <w:tc>
          <w:tcPr>
            <w:tcBorders>
              <w:bottom w:color="000000" w:space="0" w:sz="0" w:val="nil"/>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pageBreakBefore w:val="0"/>
              <w:rPr>
                <w:rFonts w:ascii="IBM Plex Sans" w:cs="IBM Plex Sans" w:eastAsia="IBM Plex Sans" w:hAnsi="IBM Plex Sans"/>
              </w:rPr>
            </w:pPr>
            <w:bookmarkStart w:colFirst="0" w:colLast="0" w:name="_4e49g6s44q5h" w:id="17"/>
            <w:bookmarkEnd w:id="17"/>
            <w:r w:rsidDel="00000000" w:rsidR="00000000" w:rsidRPr="00000000">
              <w:rPr>
                <w:rFonts w:ascii="IBM Plex Sans" w:cs="IBM Plex Sans" w:eastAsia="IBM Plex Sans" w:hAnsi="IBM Plex Sans"/>
                <w:rtl w:val="0"/>
              </w:rPr>
              <w:t xml:space="preserve">FEATURES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C">
            <w:pPr>
              <w:pStyle w:val="Heading3"/>
              <w:spacing w:after="200" w:lineRule="auto"/>
              <w:rPr>
                <w:rFonts w:ascii="IBM Plex Sans" w:cs="IBM Plex Sans" w:eastAsia="IBM Plex Sans" w:hAnsi="IBM Plex Sans"/>
                <w:b w:val="1"/>
                <w:bCs w:val="1"/>
                <w:color w:val="020094"/>
                <w:sz w:val="26"/>
                <w:szCs w:val="26"/>
              </w:rPr>
            </w:pPr>
            <w:bookmarkStart w:colFirst="0" w:colLast="0" w:name="_7efx3yacbscb" w:id="18"/>
            <w:bookmarkEnd w:id="18"/>
            <w:r w:rsidDel="00000000" w:rsidR="00000000" w:rsidRPr="00000000">
              <w:rPr>
                <w:rFonts w:ascii="IBM Plex Sans" w:cs="IBM Plex Sans" w:eastAsia="IBM Plex Sans" w:hAnsi="IBM Plex Sans"/>
                <w:color w:val="999999"/>
                <w:sz w:val="14"/>
                <w:szCs w:val="14"/>
                <w:rtl w:val="0"/>
              </w:rPr>
              <w:t xml:space="preserve">What representations are used for entities at prediction time?</w:t>
              <w:br w:type="textWrapping"/>
              <w:t xml:space="preserve">What aggregations or transformations are applied to raw data sources?</w:t>
            </w:r>
            <w:r w:rsidDel="00000000" w:rsidR="00000000" w:rsidRPr="00000000">
              <w:rPr>
                <w:rtl w:val="0"/>
              </w:rPr>
            </w:r>
          </w:p>
          <w:p w:rsidR="00000000" w:rsidDel="00000000" w:rsidP="00000000" w:rsidRDefault="00000000" w:rsidRPr="00000000" w14:paraId="0000001D">
            <w:pPr>
              <w:pageBreakBefore w:val="0"/>
              <w:spacing w:after="30" w:lineRule="auto" w:before="10" w:line="252"/>
              <w:jc w:val="left"/>
              <w:rPr>
                <w:rFonts w:ascii="IBM Plex Sans" w:cs="IBM Plex Sans" w:eastAsia="IBM Plex Sans" w:hAnsi="IBM Plex Sans"/>
                <w:color w:val="020094"/>
                <w:sz w:val="26"/>
                <w:szCs w:val="26"/>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Rejilla Espaciotemporal: </w:t>
            </w:r>
            <w:r>
              <w:rPr>
                <w:rFonts w:ascii="IBM Plex Sans" w:hAnsi="IBM Plex Sans" w:cs="IBM Plex Sans"/>
                <w:b w:val="0"/>
                <w:color w:val="020094"/>
                <w:sz w:val="15"/>
              </w:rPr>
              <w:t>470 estaciones × 15,312 horas continuas con Zero-Filling para representar inactividad real.</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Lags de Oferta y Demanda: </w:t>
            </w:r>
            <w:r>
              <w:rPr>
                <w:rFonts w:ascii="IBM Plex Sans" w:hAnsi="IBM Plex Sans" w:cs="IBM Plex Sans"/>
                <w:b w:val="0"/>
                <w:color w:val="020094"/>
                <w:sz w:val="15"/>
              </w:rPr>
              <w:t>Salidas y llegadas pasadas en t-1, t-2, t-24 (día previo) y t-168 (semana previa).</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Dinámica de Flujo Neto: </w:t>
            </w:r>
            <w:r>
              <w:rPr>
                <w:rFonts w:ascii="IBM Plex Sans" w:hAnsi="IBM Plex Sans" w:cs="IBM Plex Sans"/>
                <w:b w:val="0"/>
                <w:color w:val="020094"/>
                <w:sz w:val="15"/>
              </w:rPr>
              <w:t>Medias rodantes (Rolling Means) a 3h y 12h de Llegadas-Salidas, con .shift(1) para estricto Zero Data Leakage (t ≤ 0).</w:t>
            </w:r>
          </w:p>
        </w:tc>
      </w:tr>
      <w:tr>
        <w:trPr>
          <w:cantSplit w:val="0"/>
          <w:trHeight w:val="1740" w:hRule="atLeast"/>
          <w:tblHeader w:val="0"/>
        </w:trPr>
        <w:tc>
          <w:tcPr>
            <w:tcBorders>
              <w:top w:color="000000" w:space="0" w:sz="0" w:val="nil"/>
              <w:left w:color="000000" w:space="0" w:sz="24" w:val="single"/>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pageBreakBefore w:val="0"/>
              <w:spacing w:before="10" w:after="30" w:line="252" w:lineRule="auto"/>
              <w:jc w:val="left"/>
              <w:rPr>
                <w:rFonts w:ascii="IBM Plex Sans" w:cs="IBM Plex Sans" w:eastAsia="IBM Plex Sans" w:hAnsi="IBM Plex Sans"/>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Criterios de Despliegue: </w:t>
            </w:r>
            <w:r>
              <w:rPr>
                <w:rFonts w:ascii="IBM Plex Sans" w:hAnsi="IBM Plex Sans" w:cs="IBM Plex Sans"/>
                <w:b w:val="0"/>
                <w:color w:val="020094"/>
                <w:sz w:val="15"/>
              </w:rPr>
              <w:t>Macro F1 ≥ 0.35 (logrado: 0.3667 vs baseline 0.3330) y Recall en riesgo ≥ 85% (87.8% desabasto, 90.7% saturación). Latencia &lt; 10 s.</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Restricciones de Equidad: </w:t>
            </w:r>
            <w:r>
              <w:rPr>
                <w:rFonts w:ascii="IBM Plex Sans" w:hAnsi="IBM Plex Sans" w:cs="IBM Plex Sans"/>
                <w:b w:val="0"/>
                <w:color w:val="020094"/>
                <w:sz w:val="15"/>
              </w:rPr>
              <w:t>Garantizar atención predictiva equitativa en estaciones periféricas (Tlaquepaque, Zapopan) frente al centro de Guadalajara.</w:t>
            </w:r>
          </w:p>
        </w:tc>
        <w:tc>
          <w:tcPr>
            <w:tcBorders>
              <w:top w:color="000000" w:space="0" w:sz="12" w:val="single"/>
              <w:left w:color="000000" w:space="0" w:sz="12" w:val="single"/>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pageBreakBefore w:val="0"/>
              <w:rPr>
                <w:rFonts w:ascii="IBM Plex Sans" w:cs="IBM Plex Sans" w:eastAsia="IBM Plex Sans" w:hAnsi="IBM Plex Sans"/>
              </w:rPr>
            </w:pPr>
            <w:bookmarkStart w:colFirst="0" w:colLast="0" w:name="_99rbzexhxp86" w:id="19"/>
            <w:bookmarkEnd w:id="19"/>
            <w:r w:rsidDel="00000000" w:rsidR="00000000" w:rsidRPr="00000000">
              <w:rPr>
                <w:rFonts w:ascii="IBM Plex Sans" w:cs="IBM Plex Sans" w:eastAsia="IBM Plex Sans" w:hAnsi="IBM Plex Sans"/>
                <w:rtl w:val="0"/>
              </w:rPr>
              <w:t xml:space="preserve">MONITORING</w:t>
            </w:r>
          </w:p>
          <w:p w:rsidR="00000000" w:rsidDel="00000000" w:rsidP="00000000" w:rsidRDefault="00000000" w:rsidRPr="00000000" w14:paraId="00000020">
            <w:pPr>
              <w:pStyle w:val="Heading3"/>
              <w:pageBreakBefore w:val="0"/>
              <w:spacing w:after="200" w:lineRule="auto"/>
              <w:rPr>
                <w:rFonts w:ascii="IBM Plex Sans" w:cs="IBM Plex Sans" w:eastAsia="IBM Plex Sans" w:hAnsi="IBM Plex Sans"/>
                <w:color w:val="999999"/>
                <w:sz w:val="14"/>
                <w:szCs w:val="14"/>
              </w:rPr>
            </w:pPr>
            <w:bookmarkStart w:colFirst="0" w:colLast="0" w:name="_yrsc8mhn4oky" w:id="20"/>
            <w:bookmarkEnd w:id="20"/>
            <w:r w:rsidDel="00000000" w:rsidR="00000000" w:rsidRPr="00000000">
              <w:rPr>
                <w:rFonts w:ascii="IBM Plex Sans" w:cs="IBM Plex Sans" w:eastAsia="IBM Plex Sans" w:hAnsi="IBM Plex Sans"/>
                <w:color w:val="999999"/>
                <w:sz w:val="14"/>
                <w:szCs w:val="14"/>
                <w:rtl w:val="0"/>
              </w:rPr>
              <w:t xml:space="preserve">Which metrics and KPIs are used to track the ML solution’s impact once deployed, both for end-users and for the business?</w:t>
              <w:br w:type="textWrapping"/>
              <w:t xml:space="preserve">How often should they be reviewed?</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KPIs de Negocio: </w:t>
            </w:r>
            <w:r>
              <w:rPr>
                <w:rFonts w:ascii="IBM Plex Sans" w:hAnsi="IBM Plex Sans" w:cs="IBM Plex Sans"/>
                <w:b w:val="0"/>
                <w:color w:val="020094"/>
                <w:sz w:val="15"/>
              </w:rPr>
              <w:t>Reducción ≥ 25% en viajes frustrados; reducción ≥ 30% en horas de estación en estado crítico; ahorro en km y combustible de flota.</w:t>
            </w:r>
          </w:p>
        </w:tc>
        <w:tc>
          <w:tcPr>
            <w:tcBorders>
              <w:top w:color="000000" w:space="0" w:sz="12" w:val="single"/>
              <w:left w:color="000000" w:space="0" w:sz="0" w:val="nil"/>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30" w:lineRule="auto" w:before="10" w:line="252"/>
              <w:jc w:val="left"/>
              <w:rPr>
                <w:rFonts w:ascii="IBM Plex Sans" w:cs="IBM Plex Sans" w:eastAsia="IBM Plex Sans" w:hAnsi="IBM Plex Sans"/>
                <w:color w:val="020094"/>
                <w:sz w:val="26"/>
                <w:szCs w:val="26"/>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Métricas Técnicas ML: </w:t>
            </w:r>
            <w:r>
              <w:rPr>
                <w:rFonts w:ascii="IBM Plex Sans" w:hAnsi="IBM Plex Sans" w:cs="IBM Plex Sans"/>
                <w:b w:val="0"/>
                <w:color w:val="020094"/>
                <w:sz w:val="15"/>
              </w:rPr>
              <w:t>Macro F1-Score (alerta si &lt; 0.35); Balanced Accuracy (meta ≥ 85%); Recall en Desabasto y Saturación (meta ≥ 85%). Registro en MLflow.</w:t>
            </w:r>
          </w:p>
        </w:tc>
        <w:tc>
          <w:tcPr>
            <w:tcBorders>
              <w:top w:color="000000" w:space="0" w:sz="12" w:val="single"/>
              <w:left w:color="000000" w:space="0" w:sz="0" w:val="nil"/>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1314450</wp:posOffset>
                  </wp:positionH>
                  <wp:positionV relativeFrom="paragraph">
                    <wp:posOffset>0</wp:posOffset>
                  </wp:positionV>
                  <wp:extent cx="324000" cy="324000"/>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4000" cy="324000"/>
                          </a:xfrm>
                          <a:prstGeom prst="rect"/>
                          <a:ln/>
                        </pic:spPr>
                      </pic:pic>
                    </a:graphicData>
                  </a:graphic>
                </wp:anchor>
              </w:drawing>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Revisión y Data Drift: </w:t>
            </w:r>
            <w:r>
              <w:rPr>
                <w:rFonts w:ascii="IBM Plex Sans" w:hAnsi="IBM Plex Sans" w:cs="IBM Plex Sans"/>
                <w:b w:val="0"/>
                <w:color w:val="020094"/>
                <w:sz w:val="15"/>
              </w:rPr>
              <w:t>Auditoría semanal de métricas; tests Kolmogorov-Smirnov sobre demanda horaria; disparadores de recalibración ante obras o nuevas ciclovías.</w:t>
            </w:r>
          </w:p>
        </w:tc>
        <w:tc>
          <w:tcPr>
            <w:tcBorders>
              <w:top w:color="000000" w:space="0" w:sz="0" w:val="nil"/>
              <w:left w:color="000000" w:space="0" w:sz="12" w:val="single"/>
              <w:bottom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30" w:lineRule="auto" w:before="10" w:line="252"/>
              <w:jc w:val="left"/>
              <w:rPr>
                <w:rFonts w:ascii="IBM Plex Sans" w:cs="IBM Plex Sans" w:eastAsia="IBM Plex Sans" w:hAnsi="IBM Plex Sans"/>
                <w:sz w:val="14"/>
                <w:szCs w:val="14"/>
              </w:rPr>
            </w:pPr>
            <w:r w:rsidDel="00000000" w:rsidR="00000000" w:rsidRPr="00000000">
              <w:rPr>
                <w:rtl w:val="0"/>
              </w:rPr>
            </w:r>
            <w:r>
              <w:rPr>
                <w:rFonts w:ascii="IBM Plex Sans" w:hAnsi="IBM Plex Sans" w:cs="IBM Plex Sans"/>
                <w:b/>
                <w:color w:val="003399"/>
                <w:sz w:val="15"/>
              </w:rPr>
              <w:t xml:space="preserve">• </w:t>
            </w:r>
            <w:r>
              <w:rPr>
                <w:rFonts w:ascii="IBM Plex Sans" w:hAnsi="IBM Plex Sans" w:cs="IBM Plex Sans"/>
                <w:b/>
                <w:color w:val="111827"/>
                <w:sz w:val="15"/>
              </w:rPr>
              <w:t xml:space="preserve">Variables Cíclicas: </w:t>
            </w:r>
            <w:r>
              <w:rPr>
                <w:rFonts w:ascii="IBM Plex Sans" w:hAnsi="IBM Plex Sans" w:cs="IBM Plex Sans"/>
                <w:b w:val="0"/>
                <w:color w:val="020094"/>
                <w:sz w:val="15"/>
              </w:rPr>
              <w:t>Transformación armónica sin/cos de hora del día (2πh/24) y día de la semana (2πdow/7).</w:t>
            </w:r>
          </w:p>
          <w:p>
            <w:pPr>
              <w:spacing w:before="10" w:after="30" w:line="252" w:lineRule="auto"/>
            </w:pPr>
            <w:r>
              <w:rPr>
                <w:rFonts w:ascii="IBM Plex Sans" w:hAnsi="IBM Plex Sans" w:cs="IBM Plex Sans"/>
                <w:b/>
                <w:color w:val="003399"/>
                <w:sz w:val="15"/>
              </w:rPr>
              <w:t xml:space="preserve">• </w:t>
            </w:r>
            <w:r>
              <w:rPr>
                <w:rFonts w:ascii="IBM Plex Sans" w:hAnsi="IBM Plex Sans" w:cs="IBM Plex Sans"/>
                <w:b/>
                <w:color w:val="111827"/>
                <w:sz w:val="15"/>
              </w:rPr>
              <w:t xml:space="preserve">Atributos Físicos: </w:t>
            </w:r>
            <w:r>
              <w:rPr>
                <w:rFonts w:ascii="IBM Plex Sans" w:hAnsi="IBM Plex Sans" w:cs="IBM Plex Sans"/>
                <w:b w:val="0"/>
                <w:color w:val="020094"/>
                <w:sz w:val="15"/>
              </w:rPr>
              <w:t>Capacidad instalada de puertos (dpcapacity), latitud y longitud normalizadas.</w:t>
            </w:r>
          </w:p>
        </w:tc>
      </w:tr>
    </w:tbl>
    <w:p w:rsidR="00000000" w:rsidDel="00000000" w:rsidP="00000000" w:rsidRDefault="00000000" w:rsidRPr="00000000" w14:paraId="00000024">
      <w:pPr>
        <w:pageBreakBefore w:val="0"/>
        <w:jc w:val="left"/>
        <w:rPr>
          <w:rFonts w:ascii="IBM Plex Sans" w:cs="IBM Plex Sans" w:eastAsia="IBM Plex Sans" w:hAnsi="IBM Plex Sans"/>
          <w:sz w:val="2"/>
          <w:szCs w:val="2"/>
        </w:rPr>
      </w:pPr>
      <w:r w:rsidDel="00000000" w:rsidR="00000000" w:rsidRPr="00000000">
        <w:rPr>
          <w:rtl w:val="0"/>
        </w:rPr>
      </w:r>
    </w:p>
    <w:tbl>
      <w:tblPr>
        <w:tblStyle w:val="Table2"/>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9720"/>
        <w:gridCol w:w="2685"/>
        <w:tblGridChange w:id="0">
          <w:tblGrid>
            <w:gridCol w:w="2010"/>
            <w:gridCol w:w="9720"/>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before="60" w:line="300" w:lineRule="auto"/>
              <w:jc w:val="left"/>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00" w:lineRule="auto"/>
              <w:jc w:val="left"/>
              <w:rPr>
                <w:rFonts w:ascii="IBM Plex Sans" w:cs="IBM Plex Sans" w:eastAsia="IBM Plex Sans" w:hAnsi="IBM Plex Sans"/>
                <w:sz w:val="14"/>
                <w:szCs w:val="14"/>
              </w:rPr>
            </w:pPr>
            <w:r w:rsidDel="00000000" w:rsidR="00000000" w:rsidRPr="00000000">
              <w:rPr>
                <w:rFonts w:ascii="IBM Plex Sans" w:cs="IBM Plex Sans" w:eastAsia="IBM Plex Sans" w:hAnsi="IBM Plex Sans"/>
                <w:sz w:val="14"/>
                <w:szCs w:val="14"/>
                <w:rtl w:val="0"/>
              </w:rPr>
              <w:t xml:space="preserve">Version 1.2. Created by Louis Dorard, Ph.D. Licensed under a </w:t>
            </w:r>
            <w:hyperlink r:id="rId21">
              <w:r w:rsidDel="00000000" w:rsidR="00000000" w:rsidRPr="00000000">
                <w:rPr>
                  <w:rFonts w:ascii="IBM Plex Sans" w:cs="IBM Plex Sans" w:eastAsia="IBM Plex Sans" w:hAnsi="IBM Plex Sans"/>
                  <w:sz w:val="14"/>
                  <w:szCs w:val="14"/>
                  <w:u w:val="single"/>
                  <w:rtl w:val="0"/>
                </w:rPr>
                <w:t xml:space="preserve">Creative Commons Attribution-ShareAlike 4.0 International License</w:t>
              </w:r>
            </w:hyperlink>
            <w:r w:rsidDel="00000000" w:rsidR="00000000" w:rsidRPr="00000000">
              <w:rPr>
                <w:rFonts w:ascii="IBM Plex Sans" w:cs="IBM Plex Sans" w:eastAsia="IBM Plex Sans" w:hAnsi="IBM Plex Sans"/>
                <w:sz w:val="14"/>
                <w:szCs w:val="14"/>
                <w:rtl w:val="0"/>
              </w:rPr>
              <w:t xml:space="preserve">.</w:t>
              <w:br w:type="textWrapping"/>
              <w:t xml:space="preserve">Please keep this mention and the link to </w:t>
            </w:r>
            <w:hyperlink r:id="rId22">
              <w:r w:rsidDel="00000000" w:rsidR="00000000" w:rsidRPr="00000000">
                <w:rPr>
                  <w:rFonts w:ascii="IBM Plex Sans" w:cs="IBM Plex Sans" w:eastAsia="IBM Plex Sans" w:hAnsi="IBM Plex Sans"/>
                  <w:sz w:val="14"/>
                  <w:szCs w:val="14"/>
                  <w:u w:val="single"/>
                  <w:rtl w:val="0"/>
                </w:rPr>
                <w:t xml:space="preserve">ownml.co</w:t>
              </w:r>
            </w:hyperlink>
            <w:r w:rsidDel="00000000" w:rsidR="00000000" w:rsidRPr="00000000">
              <w:rPr>
                <w:rFonts w:ascii="IBM Plex Sans" w:cs="IBM Plex Sans" w:eastAsia="IBM Plex Sans" w:hAnsi="IBM Plex Sans"/>
                <w:sz w:val="14"/>
                <w:szCs w:val="14"/>
                <w:rtl w:val="0"/>
              </w:rPr>
              <w:t xml:space="preserve"> when sharing.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before="60" w:line="300" w:lineRule="auto"/>
              <w:jc w:val="right"/>
              <w:rPr>
                <w:rFonts w:ascii="IBM Plex Sans" w:cs="IBM Plex Sans" w:eastAsia="IBM Plex Sans" w:hAnsi="IBM Plex Sans"/>
                <w:color w:val="a35a00"/>
                <w:sz w:val="22"/>
                <w:szCs w:val="22"/>
              </w:rPr>
            </w:pPr>
            <w:r w:rsidDel="00000000" w:rsidR="00000000" w:rsidRPr="00000000">
              <w:rPr>
                <w:rFonts w:ascii="IBM Plex Sans" w:cs="IBM Plex Sans" w:eastAsia="IBM Plex Sans" w:hAnsi="IBM Plex Sans"/>
                <w:rtl w:val="0"/>
              </w:rPr>
              <w:t xml:space="preserve"> </w:t>
            </w:r>
            <w:hyperlink r:id="rId23">
              <w:r w:rsidDel="00000000" w:rsidR="00000000" w:rsidRPr="00000000">
                <w:rPr>
                  <w:rFonts w:ascii="IBM Plex Sans" w:cs="IBM Plex Sans" w:eastAsia="IBM Plex Sans" w:hAnsi="IBM Plex Sans"/>
                  <w:b w:val="1"/>
                  <w:bCs w:val="1"/>
                  <w:color w:val="a35a00"/>
                  <w:sz w:val="30"/>
                  <w:szCs w:val="30"/>
                  <w:u w:val="single"/>
                  <w:rtl w:val="0"/>
                </w:rPr>
                <w:t xml:space="preserve">OWNML.CO</w:t>
              </w:r>
            </w:hyperlink>
            <w:r w:rsidDel="00000000" w:rsidR="00000000" w:rsidRPr="00000000">
              <w:rPr>
                <w:rtl w:val="0"/>
              </w:rPr>
            </w:r>
          </w:p>
        </w:tc>
      </w:tr>
    </w:tbl>
    <w:p w:rsidR="00000000" w:rsidDel="00000000" w:rsidP="00000000" w:rsidRDefault="00000000" w:rsidRPr="00000000" w14:paraId="00000028">
      <w:pPr>
        <w:pStyle w:val="Heading1"/>
        <w:pageBreakBefore w:val="0"/>
        <w:rPr>
          <w:rFonts w:ascii="IBM Plex Sans" w:cs="IBM Plex Sans" w:eastAsia="IBM Plex Sans" w:hAnsi="IBM Plex Sans"/>
        </w:rPr>
      </w:pPr>
      <w:bookmarkStart w:colFirst="0" w:colLast="0" w:name="_c5vfevmt07y6" w:id="21"/>
      <w:bookmarkEnd w:id="21"/>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b w:val="1"/>
          <w:bCs w:val="1"/>
          <w:sz w:val="30"/>
          <w:szCs w:val="30"/>
        </w:rPr>
      </w:pPr>
      <w:r w:rsidDel="00000000" w:rsidR="00000000" w:rsidRPr="00000000">
        <w:rPr>
          <w:rtl w:val="0"/>
        </w:rPr>
      </w:r>
    </w:p>
    <w:p w:rsidR="00000000" w:rsidDel="00000000" w:rsidP="00000000" w:rsidRDefault="00000000" w:rsidRPr="00000000" w14:paraId="0000002A">
      <w:pPr>
        <w:rPr>
          <w:rFonts w:ascii="IBM Plex Sans" w:cs="IBM Plex Sans" w:eastAsia="IBM Plex Sans" w:hAnsi="IBM Plex Sans"/>
          <w:sz w:val="18"/>
          <w:szCs w:val="18"/>
        </w:rPr>
      </w:pPr>
      <w:r w:rsidDel="00000000" w:rsidR="00000000" w:rsidRPr="00000000">
        <w:rPr>
          <w:rFonts w:ascii="IBM Plex Sans" w:cs="IBM Plex Sans" w:eastAsia="IBM Plex Sans" w:hAnsi="IBM Plex Sans"/>
          <w:b w:val="1"/>
          <w:bCs w:val="1"/>
          <w:sz w:val="30"/>
          <w:szCs w:val="30"/>
          <w:rtl w:val="0"/>
        </w:rPr>
        <w:t xml:space="preserve">What your canvas is for</w:t>
      </w: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sz w:val="18"/>
          <w:szCs w:val="18"/>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30"/>
        <w:gridCol w:w="870"/>
        <w:gridCol w:w="6900"/>
        <w:tblGridChange w:id="0">
          <w:tblGrid>
            <w:gridCol w:w="6630"/>
            <w:gridCol w:w="87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20" w:lineRule="auto"/>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color w:val="202020"/>
                <w:sz w:val="18"/>
                <w:szCs w:val="18"/>
                <w:rtl w:val="0"/>
              </w:rPr>
              <w:t xml:space="preserve">A filled canvas does 4 jobs, and each one needs certain boxes filled in with care.</w:t>
            </w:r>
          </w:p>
          <w:p w:rsidR="00000000" w:rsidDel="00000000" w:rsidP="00000000" w:rsidRDefault="00000000" w:rsidRPr="00000000" w14:paraId="0000002D">
            <w:pPr>
              <w:numPr>
                <w:ilvl w:val="0"/>
                <w:numId w:val="1"/>
              </w:numPr>
              <w:spacing w:after="0" w:afterAutospacing="0" w:before="20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Deciding what's worth building.</w:t>
            </w:r>
            <w:r w:rsidDel="00000000" w:rsidR="00000000" w:rsidRPr="00000000">
              <w:rPr>
                <w:rFonts w:ascii="IBM Plex Sans" w:cs="IBM Plex Sans" w:eastAsia="IBM Plex Sans" w:hAnsi="IBM Plex Sans"/>
                <w:color w:val="202020"/>
                <w:sz w:val="18"/>
                <w:szCs w:val="18"/>
                <w:rtl w:val="0"/>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Agreeing on what gets built.</w:t>
            </w:r>
            <w:r w:rsidDel="00000000" w:rsidR="00000000" w:rsidRPr="00000000">
              <w:rPr>
                <w:rFonts w:ascii="IBM Plex Sans" w:cs="IBM Plex Sans" w:eastAsia="IBM Plex Sans" w:hAnsi="IBM Plex Sans"/>
                <w:color w:val="202020"/>
                <w:sz w:val="18"/>
                <w:szCs w:val="18"/>
                <w:rtl w:val="0"/>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rsidR="00000000" w:rsidDel="00000000" w:rsidP="00000000" w:rsidRDefault="00000000" w:rsidRPr="00000000" w14:paraId="0000002F">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Knowing when the model is good enough.</w:t>
            </w:r>
            <w:r w:rsidDel="00000000" w:rsidR="00000000" w:rsidRPr="00000000">
              <w:rPr>
                <w:rFonts w:ascii="IBM Plex Sans" w:cs="IBM Plex Sans" w:eastAsia="IBM Plex Sans" w:hAnsi="IBM Plex Sans"/>
                <w:color w:val="202020"/>
                <w:sz w:val="18"/>
                <w:szCs w:val="18"/>
                <w:rtl w:val="0"/>
              </w:rPr>
              <w:t xml:space="preserve"> The Impact Simulation box sets the performance the model has to reach to pay off. Test the model on enough of the cases you're predicting: 35,000 machine-hours of data can hold just 3 failures, too few to measure anything.</w:t>
            </w:r>
          </w:p>
          <w:p w:rsidR="00000000" w:rsidDel="00000000" w:rsidP="00000000" w:rsidRDefault="00000000" w:rsidRPr="00000000" w14:paraId="00000030">
            <w:pPr>
              <w:numPr>
                <w:ilvl w:val="0"/>
                <w:numId w:val="1"/>
              </w:numPr>
              <w:spacing w:after="20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Learning after launch.</w:t>
            </w:r>
            <w:r w:rsidDel="00000000" w:rsidR="00000000" w:rsidRPr="00000000">
              <w:rPr>
                <w:rFonts w:ascii="IBM Plex Sans" w:cs="IBM Plex Sans" w:eastAsia="IBM Plex Sans" w:hAnsi="IBM Plex Sans"/>
                <w:color w:val="202020"/>
                <w:sz w:val="18"/>
                <w:szCs w:val="18"/>
                <w:rtl w:val="0"/>
              </w:rPr>
              <w:t xml:space="preserve"> If acting on a prediction changes the outcome, keep a small share of flagged cases untouched and record that share in the Decisions box, so you can see what your action changed.</w:t>
            </w: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Whatever you can't answer is the work left before anyone writes code.</w:t>
            </w:r>
          </w:p>
          <w:p w:rsidR="00000000" w:rsidDel="00000000" w:rsidP="00000000" w:rsidRDefault="00000000" w:rsidRPr="00000000" w14:paraId="00000033">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4">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Book a project review</w:t>
            </w:r>
          </w:p>
          <w:p w:rsidR="00000000" w:rsidDel="00000000" w:rsidP="00000000" w:rsidRDefault="00000000" w:rsidRPr="00000000" w14:paraId="00000038">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rsidR="00000000" w:rsidDel="00000000" w:rsidP="00000000" w:rsidRDefault="00000000" w:rsidRPr="00000000" w14:paraId="0000003A">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B">
            <w:pPr>
              <w:rPr>
                <w:rFonts w:ascii="IBM Plex Sans" w:cs="IBM Plex Sans" w:eastAsia="IBM Plex Sans" w:hAnsi="IBM Plex Sans"/>
                <w:b w:val="1"/>
                <w:bCs w:val="1"/>
                <w:color w:val="a35a00"/>
                <w:sz w:val="18"/>
                <w:szCs w:val="18"/>
              </w:rPr>
            </w:pPr>
            <w:hyperlink r:id="rId24">
              <w:r w:rsidDel="00000000" w:rsidR="00000000" w:rsidRPr="00000000">
                <w:rPr>
                  <w:rFonts w:ascii="IBM Plex Sans" w:cs="IBM Plex Sans" w:eastAsia="IBM Plex Sans" w:hAnsi="IBM Plex Sans"/>
                  <w:b w:val="1"/>
                  <w:bCs w:val="1"/>
                  <w:color w:val="a35a00"/>
                  <w:sz w:val="18"/>
                  <w:szCs w:val="18"/>
                  <w:u w:val="single"/>
                  <w:rtl w:val="0"/>
                </w:rPr>
                <w:t xml:space="preserve">Book a 30-minute call →</w:t>
              </w:r>
            </w:hyperlink>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sz w:val="14"/>
                <w:szCs w:val="14"/>
              </w:rPr>
            </w:pPr>
            <w:r w:rsidDel="00000000" w:rsidR="00000000" w:rsidRPr="00000000">
              <w:rPr>
                <w:rtl w:val="0"/>
              </w:rPr>
            </w:r>
          </w:p>
          <w:p w:rsidR="00000000" w:rsidDel="00000000" w:rsidP="00000000" w:rsidRDefault="00000000" w:rsidRPr="00000000" w14:paraId="0000003D">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E">
            <w:pPr>
              <w:spacing w:line="240" w:lineRule="auto"/>
              <w:rPr>
                <w:rFonts w:ascii="IBM Plex Sans" w:cs="IBM Plex Sans" w:eastAsia="IBM Plex Sans" w:hAnsi="IBM Plex Sans"/>
                <w:b w:val="1"/>
                <w:bCs w:val="1"/>
                <w:sz w:val="22"/>
                <w:szCs w:val="22"/>
              </w:rPr>
            </w:pPr>
            <w:r w:rsidDel="00000000" w:rsidR="00000000" w:rsidRPr="00000000">
              <w:rPr>
                <w:rtl w:val="0"/>
              </w:rPr>
            </w:r>
          </w:p>
          <w:p w:rsidR="00000000" w:rsidDel="00000000" w:rsidP="00000000" w:rsidRDefault="00000000" w:rsidRPr="00000000" w14:paraId="0000003F">
            <w:pPr>
              <w:spacing w:line="240" w:lineRule="auto"/>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Reference the Machine Learning Canvas</w:t>
            </w:r>
          </w:p>
          <w:p w:rsidR="00000000" w:rsidDel="00000000" w:rsidP="00000000" w:rsidRDefault="00000000" w:rsidRPr="00000000" w14:paraId="00000040">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1">
            <w:pPr>
              <w:spacing w:line="24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If you need to reference the Canvas formally (e.g. in documentation or publications), you may use:</w:t>
            </w:r>
          </w:p>
          <w:p w:rsidR="00000000" w:rsidDel="00000000" w:rsidP="00000000" w:rsidRDefault="00000000" w:rsidRPr="00000000" w14:paraId="00000042">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3">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@misc{mlc,</w:t>
            </w:r>
          </w:p>
          <w:p w:rsidR="00000000" w:rsidDel="00000000" w:rsidP="00000000" w:rsidRDefault="00000000" w:rsidRPr="00000000" w14:paraId="00000044">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title  = "Machine Learning Canvas",</w:t>
            </w:r>
          </w:p>
          <w:p w:rsidR="00000000" w:rsidDel="00000000" w:rsidP="00000000" w:rsidRDefault="00000000" w:rsidRPr="00000000" w14:paraId="00000045">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author = "Louis Dorard (OWNML)",</w:t>
            </w:r>
          </w:p>
          <w:p w:rsidR="00000000" w:rsidDel="00000000" w:rsidP="00000000" w:rsidRDefault="00000000" w:rsidRPr="00000000" w14:paraId="00000046">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url    = "https://www.ownml.co/",</w:t>
            </w:r>
          </w:p>
          <w:p w:rsidR="00000000" w:rsidDel="00000000" w:rsidP="00000000" w:rsidRDefault="00000000" w:rsidRPr="00000000" w14:paraId="00000047">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year   = "2015"</w:t>
            </w:r>
          </w:p>
          <w:p w:rsidR="00000000" w:rsidDel="00000000" w:rsidP="00000000" w:rsidRDefault="00000000" w:rsidRPr="00000000" w14:paraId="00000048">
            <w:pPr>
              <w:spacing w:line="240" w:lineRule="auto"/>
              <w:rPr>
                <w:rFonts w:ascii="IBM Plex Sans" w:cs="IBM Plex Sans" w:eastAsia="IBM Plex Sans" w:hAnsi="IBM Plex Sans"/>
                <w:i w:val="1"/>
                <w:iCs w:val="1"/>
                <w:sz w:val="18"/>
                <w:szCs w:val="18"/>
              </w:rPr>
            </w:pPr>
            <w:r w:rsidDel="00000000" w:rsidR="00000000" w:rsidRPr="00000000">
              <w:rPr>
                <w:rFonts w:ascii="IBM Plex Mono" w:cs="IBM Plex Mono" w:eastAsia="IBM Plex Mono" w:hAnsi="IBM Plex Mono"/>
                <w:color w:val="b5a897"/>
                <w:sz w:val="18"/>
                <w:szCs w:val="18"/>
                <w:rtl w:val="0"/>
              </w:rPr>
              <w:t xml:space="preserve">}</w:t>
            </w: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i w:val="1"/>
                <w:iCs w:val="1"/>
                <w:sz w:val="18"/>
                <w:szCs w:val="18"/>
                <w:rtl w:val="0"/>
              </w:rPr>
              <w:t xml:space="preserve">"The Canvas allowed us to structure and focus our delivery sprints. The ML system went live in June 2020 and still is."</w:t>
            </w:r>
            <w:r w:rsidDel="00000000" w:rsidR="00000000" w:rsidRPr="00000000">
              <w:rPr>
                <w:rFonts w:ascii="IBM Plex Sans" w:cs="IBM Plex Sans" w:eastAsia="IBM Plex Sans" w:hAnsi="IBM Plex Sans"/>
                <w:sz w:val="18"/>
                <w:szCs w:val="18"/>
                <w:rtl w:val="0"/>
              </w:rPr>
              <w:br w:type="textWrapping"/>
              <w:t xml:space="preserve">— Christian Schiller, Senior IT &amp; Enterprise Architect, Deutsche Telekom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i w:val="1"/>
                <w:iCs w:val="1"/>
                <w:sz w:val="18"/>
                <w:szCs w:val="18"/>
                <w:rtl w:val="0"/>
              </w:rPr>
              <w:t xml:space="preserve">"MLC played an essential role in a positive project outcome. It is now being used throughout the organization."</w:t>
            </w:r>
            <w:r w:rsidDel="00000000" w:rsidR="00000000" w:rsidRPr="00000000">
              <w:rPr>
                <w:rFonts w:ascii="IBM Plex Sans" w:cs="IBM Plex Sans" w:eastAsia="IBM Plex Sans" w:hAnsi="IBM Plex Sans"/>
                <w:sz w:val="18"/>
                <w:szCs w:val="18"/>
                <w:rtl w:val="0"/>
              </w:rPr>
              <w:br w:type="textWrapping"/>
              <w:t xml:space="preserve">— Daitan, now part of Coforge, a global IT services firm</w:t>
            </w:r>
            <w:r w:rsidDel="00000000" w:rsidR="00000000" w:rsidRPr="00000000">
              <w:rPr>
                <w:rtl w:val="0"/>
              </w:rPr>
            </w:r>
          </w:p>
        </w:tc>
      </w:tr>
    </w:tbl>
    <w:p w:rsidR="00000000" w:rsidDel="00000000" w:rsidP="00000000" w:rsidRDefault="00000000" w:rsidRPr="00000000" w14:paraId="0000004D">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4E">
      <w:pPr>
        <w:spacing w:line="276" w:lineRule="auto"/>
        <w:jc w:val="left"/>
        <w:rPr>
          <w:rFonts w:ascii="IBM Plex Sans" w:cs="IBM Plex Sans" w:eastAsia="IBM Plex Sans" w:hAnsi="IBM Plex Sans"/>
          <w:b w:val="1"/>
          <w:bCs w:val="1"/>
          <w:sz w:val="18"/>
          <w:szCs w:val="18"/>
        </w:rPr>
      </w:pPr>
      <w:r w:rsidDel="00000000" w:rsidR="00000000" w:rsidRPr="00000000">
        <w:rPr>
          <w:rtl w:val="0"/>
        </w:rPr>
      </w:r>
    </w:p>
    <w:sectPr>
      <w:pgSz w:h="12240" w:w="15840" w:orient="landscape"/>
      <w:pgMar w:bottom="0" w:top="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ind">
    <w:embedRegular w:fontKey="{00000000-0000-0000-0000-000000000000}" r:id="rId13" w:subsetted="0"/>
    <w:embedBold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jc w:val="left"/>
    </w:pPr>
    <w:rPr>
      <w:rFonts w:ascii="Hind" w:cs="Hind" w:eastAsia="Hind" w:hAnsi="Hind"/>
      <w:b w:val="1"/>
      <w:bCs w:val="1"/>
      <w:color w:val="020094"/>
      <w:sz w:val="32"/>
      <w:szCs w:val="32"/>
    </w:rPr>
  </w:style>
  <w:style w:type="paragraph" w:styleId="Heading2">
    <w:name w:val="heading 2"/>
    <w:basedOn w:val="Normal"/>
    <w:next w:val="Normal"/>
    <w:pPr>
      <w:spacing w:after="200" w:lineRule="auto"/>
    </w:pPr>
    <w:rPr>
      <w:b w:val="1"/>
      <w:bCs w:val="1"/>
      <w:sz w:val="18"/>
      <w:szCs w:val="18"/>
    </w:rPr>
  </w:style>
  <w:style w:type="paragraph" w:styleId="Heading3">
    <w:name w:val="heading 3"/>
    <w:basedOn w:val="Normal"/>
    <w:next w:val="Normal"/>
    <w:pPr>
      <w:spacing w:after="200" w:lineRule="auto"/>
      <w:jc w:val="left"/>
    </w:pPr>
    <w:rPr>
      <w:rFonts w:ascii="Poppins" w:cs="Poppins" w:eastAsia="Poppins" w:hAnsi="Poppins"/>
      <w:color w:val="999999"/>
      <w:sz w:val="12"/>
      <w:szCs w:val="12"/>
    </w:rPr>
  </w:style>
  <w:style w:type="paragraph" w:styleId="Heading4">
    <w:name w:val="heading 4"/>
    <w:basedOn w:val="Normal"/>
    <w:next w:val="Normal"/>
    <w:pPr>
      <w:pageBreakBefore w:val="0"/>
      <w:ind w:left="226.7716535433071"/>
      <w:jc w:val="left"/>
    </w:pPr>
    <w:rPr>
      <w:rFonts w:ascii="Hind" w:cs="Hind" w:eastAsia="Hind" w:hAnsi="Hind"/>
      <w:color w:val="666666"/>
      <w:sz w:val="16"/>
      <w:szCs w:val="16"/>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hyperlink" Target="https://www.ownml.co/" TargetMode="External"/><Relationship Id="rId10" Type="http://schemas.openxmlformats.org/officeDocument/2006/relationships/image" Target="media/image14.png"/><Relationship Id="rId21" Type="http://schemas.openxmlformats.org/officeDocument/2006/relationships/hyperlink" Target="https://creativecommons.org/licenses/by-sa/4.0/" TargetMode="External"/><Relationship Id="rId13" Type="http://schemas.openxmlformats.org/officeDocument/2006/relationships/image" Target="media/image6.png"/><Relationship Id="rId24" Type="http://schemas.openxmlformats.org/officeDocument/2006/relationships/hyperlink" Target="https://calendar.google.com/calendar/u/0/appointments/schedules/AcZssZ01twDReOp1fMth80wKIkyE6nFz4y5c2NO7zRlU6rEBi5uUvW4v-2y58-xjuIBoo2GR10ZHKmEw" TargetMode="External"/><Relationship Id="rId12" Type="http://schemas.openxmlformats.org/officeDocument/2006/relationships/image" Target="media/image13.png"/><Relationship Id="rId23" Type="http://schemas.openxmlformats.org/officeDocument/2006/relationships/hyperlink" Target="https://www.ownml.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Hind-regular.ttf"/><Relationship Id="rId12" Type="http://schemas.openxmlformats.org/officeDocument/2006/relationships/font" Target="fonts/Poppi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Poppins-regular.ttf"/><Relationship Id="rId15" Type="http://schemas.openxmlformats.org/officeDocument/2006/relationships/font" Target="fonts/IBMPlexMono-regular.ttf"/><Relationship Id="rId14" Type="http://schemas.openxmlformats.org/officeDocument/2006/relationships/font" Target="fonts/Hind-bold.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IBMPlex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