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DE SATISFACCIÓN Y ANÁLISIS DE RENOVACIÓN</w:t>
      </w:r>
    </w:p>
    <w:p>
      <w:pPr>
        <w:spacing w:after="6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Informe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24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{fechaInforme}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1. ANTECEDENTES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Fondo de Inversión Ambiental Sostenible (FIAS), en su calidad de administrador de los recursos del Fondo de Áreas Protegidas (FAP), mantiene con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, con RUC {proveedorRuc}, el contrato Nro. </w:t>
      </w:r>
      <w:r>
        <w:rPr>
          <w:rFonts w:ascii="Titillium Web" w:hAnsi="Titillium Web"/>
          <w:b/>
          <w:bCs/>
          <w:sz w:val="22"/>
          <w:szCs w:val="22"/>
        </w:rPr>
        <w:t xml:space="preserve">{contratoAnterior}</w:t>
      </w:r>
      <w:r>
        <w:rPr>
          <w:rFonts w:ascii="Titillium Web" w:hAnsi="Titillium Web"/>
          <w:sz w:val="22"/>
          <w:szCs w:val="22"/>
        </w:rPr>
        <w:t xml:space="preserve">, suscrito el {fechaSuscripcionAnt},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por un monto de USD {montoAnterior}, con vigencia hasta el {fechaFinAnterior}, para el {area}.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servicio es de carácter recurrente y su continuidad es necesaria para la operación del área protegida: la interrupción del servicio a partir del {arranqueSucesor} afectaría directamente la gestión del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2. VERIFICACIÓN DE LA CLÁUSULA DE RENOVACIÓN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Conforme a la Matriz de procesos de adquisición, contratación y renovación del FAP, la renovación procede únicamente cuando el contrato original la contempla expresamente y cuando el contrato vigente no es, a su vez, una renovación —el FIAS permite renovar una sola vez—.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Resultado de la verificación: </w:t>
      </w:r>
      <w:r>
        <w:rPr>
          <w:rFonts w:ascii="Titillium Web" w:hAnsi="Titillium Web"/>
          <w:sz w:val="22"/>
          <w:szCs w:val="22"/>
        </w:rPr>
        <w:t xml:space="preserve">{clausulaTexto}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3. EJECUCIÓN DEL SERVICIO Y CONFORMIDAD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Durante el período de vigencia del contrato,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prestó el servicio contratado en las condiciones, plazos y especificaciones pactadas. El detalle de lo ejecutado es el siguiente: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  <w:gridCol w:w="1100"/>
        <w:gridCol w:w="1300"/>
      </w:tblGrid>
      <w:tr>
        <w:trPr>
          <w:tblHeader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DESCRIPCIÓN Y ESPECIFICACIONES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CANT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UNIDAD</w:t>
            </w:r>
          </w:p>
        </w:tc>
      </w:tr>
      <w:t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{#items}{desc}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{cantidad}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{unidad}{/items}</w:t>
            </w:r>
          </w:p>
        </w:tc>
      </w:tr>
    </w:tbl>
    <w:p>
      <w:pPr>
        <w:spacing w:after="12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administración del contrato deja constancia de la </w:t>
      </w:r>
      <w:r>
        <w:rPr>
          <w:rFonts w:ascii="Titillium Web" w:hAnsi="Titillium Web"/>
          <w:b/>
          <w:bCs/>
          <w:sz w:val="22"/>
          <w:szCs w:val="22"/>
        </w:rPr>
        <w:t xml:space="preserve">entera satisfacción</w:t>
      </w:r>
      <w:r>
        <w:rPr>
          <w:rFonts w:ascii="Titillium Web" w:hAnsi="Titillium Web"/>
          <w:sz w:val="22"/>
          <w:szCs w:val="22"/>
        </w:rPr>
        <w:t xml:space="preserve"> con el servicio recibido: no se registraron incumplimientos, multas ni observaciones pendientes de subsanación durante el período informado.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4. ANÁLISIS TÉCNICO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{analisisTecnico}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5. ANÁLISIS GEOGRÁFICO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{analisisGeografico}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6. ANÁLISIS ECONÓMICO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consumo efectivamente ejecutado durante el período asciende a </w:t>
      </w:r>
      <w:r>
        <w:rPr>
          <w:rFonts w:ascii="Titillium Web" w:hAnsi="Titillium Web"/>
          <w:b/>
          <w:bCs/>
          <w:sz w:val="22"/>
          <w:szCs w:val="22"/>
        </w:rPr>
        <w:t xml:space="preserve">USD {consumoEjecutado}</w:t>
      </w:r>
      <w:r>
        <w:rPr>
          <w:rFonts w:ascii="Titillium Web" w:hAnsi="Titillium Web"/>
          <w:sz w:val="22"/>
          <w:szCs w:val="22"/>
        </w:rPr>
        <w:t xml:space="preserve">, frente a un valor contratado de USD {montoAnterior}. Este consumo ejecutado —no el presupuesto del contrato vigente— es la base sobre la cual se solicitará la cotización del nuevo período, para evitar la subestimación que obliga a tramitar adendas de aumento de valor.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{analisisEconomico}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7. CONCLUSIÓN Y RECOMENDACIÓN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Con los antecedentes expuestos y verificada la cláusula de renovación, quien suscribe deja constancia de la satisfacción con el servicio prestado por </w:t>
      </w: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  <w:r>
        <w:rPr>
          <w:rFonts w:ascii="Titillium Web" w:hAnsi="Titillium Web"/>
          <w:sz w:val="22"/>
          <w:szCs w:val="22"/>
        </w:rPr>
        <w:t xml:space="preserve"> y </w:t>
      </w:r>
      <w:r>
        <w:rPr>
          <w:rFonts w:ascii="Titillium Web" w:hAnsi="Titillium Web"/>
          <w:b/>
          <w:bCs/>
          <w:sz w:val="22"/>
          <w:szCs w:val="22"/>
        </w:rPr>
        <w:t xml:space="preserve">recomienda renovar el contrato Nro. {contratoAnterior}</w:t>
      </w:r>
      <w:r>
        <w:rPr>
          <w:rFonts w:ascii="Titillium Web" w:hAnsi="Titillium Web"/>
          <w:sz w:val="22"/>
          <w:szCs w:val="22"/>
        </w:rPr>
        <w:t xml:space="preserve"> para el período comprendido entre el {periodoDesde} y el {periodoHasta}, por una sola vez, conforme lo permite el instrumento vigente.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El monto del nuevo período se determinará una vez aprobado el Plan Anual de Gasto, con cargo al componente {partida} denominado «{lineaNombre}», de la fuente de financiamiento {fuente}. El contrato de renovación será elaborado por la Unidad Operativa del FAP.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tbl>
      <w:tblPr>
        <w:tblW w:w="892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/>
      </w:tblPr>
      <w:tblGrid>
        <w:gridCol w:w="4460"/>
        <w:gridCol w:w="4460"/>
      </w:tblGrid>
      <w:t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{ac}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Administrador/a Contador/a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0"/>
              <w:jc w:val="center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{jefe}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{jefeCargo}</w:t>
            </w:r>
          </w:p>
          <w:p>
            <w:pPr>
              <w:spacing w:after="0"/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Ministerio del Ambiente y Energía</w:t>
            </w:r>
          </w:p>
        </w:tc>
      </w:tr>
    </w:tbl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