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120"/>
        <w:jc w:val="center"/>
      </w:pPr>
      <w:r>
        <w:rPr>
          <w:rFonts w:ascii="Calibri" w:cs="Calibri" w:eastAsia="Calibri" w:hAnsi="Calibri"/>
          <w:b/>
          <w:bCs/>
          <w:color w:val="0B153F"/>
          <w:sz w:val="28"/>
          <w:szCs w:val="28"/>
        </w:rPr>
        <w:t xml:space="preserve">ACTA N.º {actaNo}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6B7180"/>
          <w:sz w:val="18"/>
          <w:szCs w:val="18"/>
        </w:rPr>
        <w:t xml:space="preserve">Acta de calificación, selección y adjudicación — Concurso de ofertas (calificación por puntos)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00249C"/>
          <w:sz w:val="24"/>
          <w:szCs w:val="24"/>
        </w:rPr>
        <w:t xml:space="preserve">Datos del proceso</w:t>
      </w:r>
    </w:p>
    <w:tbl>
      <w:tblPr>
        <w:tblW w:type="dxa" w:w="9000"/>
        <w:tblBorders>
          <w:top w:val="single" w:color="D9DEEA" w:sz="4"/>
          <w:left w:val="single" w:color="D9DEEA" w:sz="4"/>
          <w:bottom w:val="single" w:color="D9DEEA" w:sz="4"/>
          <w:right w:val="single" w:color="D9DEEA" w:sz="4"/>
          <w:insideH w:val="single" w:color="D9DEEA" w:sz="4"/>
          <w:insideV w:val="single" w:color="D9DEEA" w:sz="4"/>
        </w:tblBorders>
      </w:tblPr>
      <w:tblGrid>
        <w:gridCol w:w="3400"/>
        <w:gridCol w:w="5600"/>
      </w:tblGrid>
      <w:tr>
        <w:tc>
          <w:tcPr>
            <w:tcW w:type="dxa" w:w="34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Objeto de la contratación</w:t>
            </w:r>
          </w:p>
        </w:tc>
        <w:tc>
          <w:tcPr>
            <w:tcW w:type="dxa" w:w="5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{objeto}</w:t>
            </w:r>
          </w:p>
        </w:tc>
      </w:tr>
      <w:tr>
        <w:tc>
          <w:tcPr>
            <w:tcW w:type="dxa" w:w="34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Área protegida / instancia beneficiaria</w:t>
            </w:r>
          </w:p>
        </w:tc>
        <w:tc>
          <w:tcPr>
            <w:tcW w:type="dxa" w:w="5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{area}</w:t>
            </w:r>
          </w:p>
        </w:tc>
      </w:tr>
      <w:tr>
        <w:tc>
          <w:tcPr>
            <w:tcW w:type="dxa" w:w="34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Modalidad de selección</w:t>
            </w:r>
          </w:p>
        </w:tc>
        <w:tc>
          <w:tcPr>
            <w:tcW w:type="dxa" w:w="5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{modalidad}</w:t>
            </w:r>
          </w:p>
        </w:tc>
      </w:tr>
      <w:tr>
        <w:tc>
          <w:tcPr>
            <w:tcW w:type="dxa" w:w="34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Presupuesto referencial (USD)</w:t>
            </w:r>
          </w:p>
        </w:tc>
        <w:tc>
          <w:tcPr>
            <w:tcW w:type="dxa" w:w="5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{presupuesto}  ({presupuestoLetras})</w:t>
            </w:r>
          </w:p>
        </w:tc>
      </w:tr>
      <w:tr>
        <w:tc>
          <w:tcPr>
            <w:tcW w:type="dxa" w:w="34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Fuente de financiamiento / PAG</w:t>
            </w:r>
          </w:p>
        </w:tc>
        <w:tc>
          <w:tcPr>
            <w:tcW w:type="dxa" w:w="5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{partida} — {lineaNombre}</w:t>
            </w:r>
          </w:p>
        </w:tc>
      </w:tr>
      <w:tr>
        <w:tc>
          <w:tcPr>
            <w:tcW w:type="dxa" w:w="34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de invitación</w:t>
            </w:r>
          </w:p>
        </w:tc>
        <w:tc>
          <w:tcPr>
            <w:tcW w:type="dxa" w:w="5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{fechaInvitacion}</w:t>
            </w:r>
          </w:p>
        </w:tc>
      </w:tr>
      <w:tr>
        <w:tc>
          <w:tcPr>
            <w:tcW w:type="dxa" w:w="34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Plazo para presentación de ofertas</w:t>
            </w:r>
          </w:p>
        </w:tc>
        <w:tc>
          <w:tcPr>
            <w:tcW w:type="dxa" w:w="5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{fechaLimite}</w:t>
            </w:r>
          </w:p>
        </w:tc>
      </w:tr>
      <w:tr>
        <w:tc>
          <w:tcPr>
            <w:tcW w:type="dxa" w:w="34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Puntaje total del proceso</w:t>
            </w:r>
          </w:p>
        </w:tc>
        <w:tc>
          <w:tcPr>
            <w:tcW w:type="dxa" w:w="5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{puntosTotal} puntos · Umbral técnico: {umbral} de {tecMax}</w:t>
            </w:r>
          </w:p>
        </w:tc>
      </w:tr>
    </w:tbl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00249C"/>
          <w:sz w:val="24"/>
          <w:szCs w:val="24"/>
        </w:rPr>
        <w:t xml:space="preserve">Inicio de sesión</w:t>
      </w:r>
    </w:p>
    <w:p>
      <w:p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El día {fechaSesion}, a las {horaSesion} horas, en {lugarSesion}, se reúnen los miembros de la Comisión de Calificación, convocados por su Presidencia a través de Secretaría, para tratar el proceso de referencia.</w:t>
      </w:r>
    </w:p>
    <w:p>
      <w:pPr>
        <w:spacing w:after="4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Constatación de quórum:</w:t>
      </w:r>
    </w:p>
    <w:tbl>
      <w:tblPr>
        <w:tblW w:type="dxa" w:w="9400"/>
        <w:tblBorders>
          <w:top w:val="single" w:color="D9DEEA" w:sz="4"/>
          <w:left w:val="single" w:color="D9DEEA" w:sz="4"/>
          <w:bottom w:val="single" w:color="D9DEEA" w:sz="4"/>
          <w:right w:val="single" w:color="D9DEEA" w:sz="4"/>
          <w:insideH w:val="single" w:color="D9DEEA" w:sz="4"/>
          <w:insideV w:val="single" w:color="D9DEEA" w:sz="4"/>
        </w:tblBorders>
      </w:tblPr>
      <w:tblGrid>
        <w:gridCol w:w="3000"/>
        <w:gridCol w:w="3200"/>
        <w:gridCol w:w="1800"/>
        <w:gridCol w:w="1400"/>
      </w:tblGrid>
      <w:tr>
        <w:tc>
          <w:tcPr>
            <w:tcW w:type="dxa" w:w="30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Nombre</w:t>
            </w:r>
          </w:p>
        </w:tc>
        <w:tc>
          <w:tcPr>
            <w:tcW w:type="dxa" w:w="32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Cargo institucional</w:t>
            </w:r>
          </w:p>
        </w:tc>
        <w:tc>
          <w:tcPr>
            <w:tcW w:type="dxa" w:w="18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Rol en la Comisión</w:t>
            </w:r>
          </w:p>
        </w:tc>
        <w:tc>
          <w:tcPr>
            <w:tcW w:type="dxa" w:w="14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Asistencia</w:t>
            </w:r>
          </w:p>
        </w:tc>
      </w:tr>
      <w:tr>
        <w:tc>
          <w:tcPr>
            <w:tcW w:type="dxa" w:w="3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{#comision}{nombre}</w:t>
            </w:r>
          </w:p>
        </w:tc>
        <w:tc>
          <w:tcPr>
            <w:tcW w:type="dxa" w:w="3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{cargo}</w:t>
            </w:r>
          </w:p>
        </w:tc>
        <w:tc>
          <w:tcPr>
            <w:tcW w:type="dxa" w:w="18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{rol}</w:t>
            </w:r>
          </w:p>
        </w:tc>
        <w:tc>
          <w:tcPr>
            <w:tcW w:type="dxa" w:w="14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Presencial / Virtual{/comision}</w:t>
            </w:r>
          </w:p>
        </w:tc>
      </w:tr>
    </w:tbl>
    <w:p>
      <w:p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Constatado el quórum reglamentario, la Presidencia declara instalada la sesión y dispone dar lectura al orden del día: (1) antecedentes del proceso; (2) revisión y evaluación de ofertas técnicas; (3) revisión y evaluación de ofertas económicas; (4) selección y adjudicación; (5) varios.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00249C"/>
          <w:sz w:val="24"/>
          <w:szCs w:val="24"/>
        </w:rPr>
        <w:t xml:space="preserve">Primero — Antecedentes del proceso</w:t>
      </w:r>
    </w:p>
    <w:p>
      <w:p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Mediante memorando/resolución N.º {memoNro}, de fecha {fechaInicio}, se solicitó el inicio del proceso de {modalidad} para “{objeto}”. El presupuesto referencial corresponde a {presupuesto} ({presupuestoLetras}), previsto en el PAG aprobado. Se remitieron las invitaciones a proveedores calificados por el FIAS, recibiéndose las siguientes ofertas dentro del plazo previsto (hasta {fechaLimite}):</w:t>
      </w:r>
    </w:p>
    <w:tbl>
      <w:tblPr>
        <w:tblW w:type="dxa" w:w="9200"/>
        <w:tblBorders>
          <w:top w:val="single" w:color="D9DEEA" w:sz="4"/>
          <w:left w:val="single" w:color="D9DEEA" w:sz="4"/>
          <w:bottom w:val="single" w:color="D9DEEA" w:sz="4"/>
          <w:right w:val="single" w:color="D9DEEA" w:sz="4"/>
          <w:insideH w:val="single" w:color="D9DEEA" w:sz="4"/>
          <w:insideV w:val="single" w:color="D9DEEA" w:sz="4"/>
        </w:tblBorders>
      </w:tblPr>
      <w:tblGrid>
        <w:gridCol w:w="4600"/>
        <w:gridCol w:w="2000"/>
        <w:gridCol w:w="1200"/>
        <w:gridCol w:w="1400"/>
      </w:tblGrid>
      <w:tr>
        <w:tc>
          <w:tcPr>
            <w:tcW w:type="dxa" w:w="46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Proponente</w:t>
            </w:r>
          </w:p>
        </w:tc>
        <w:tc>
          <w:tcPr>
            <w:tcW w:type="dxa" w:w="20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de entrega</w:t>
            </w:r>
          </w:p>
        </w:tc>
        <w:tc>
          <w:tcPr>
            <w:tcW w:type="dxa" w:w="12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Hora</w:t>
            </w:r>
          </w:p>
        </w:tc>
        <w:tc>
          <w:tcPr>
            <w:tcW w:type="dxa" w:w="14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4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{#provs}{razon}</w:t>
            </w:r>
          </w:p>
        </w:tc>
        <w:tc>
          <w:tcPr>
            <w:tcW w:type="dxa" w:w="2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____________</w:t>
            </w:r>
          </w:p>
        </w:tc>
        <w:tc>
          <w:tcPr>
            <w:tcW w:type="dxa" w:w="1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__:__</w:t>
            </w:r>
          </w:p>
        </w:tc>
        <w:tc>
          <w:tcPr>
            <w:tcW w:type="dxa" w:w="14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tiempo{/provs}</w:t>
            </w:r>
          </w:p>
        </w:tc>
      </w:tr>
    </w:tbl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00249C"/>
          <w:sz w:val="24"/>
          <w:szCs w:val="24"/>
        </w:rPr>
        <w:t xml:space="preserve">Segundo — Revisión y evaluación de la oferta técnica</w:t>
      </w:r>
    </w:p>
    <w:p>
      <w:p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La Comisión califica las propuestas técnicas conforme a los criterios de las bases (perfil profesional y oferta técnica). Solo pasan a la evaluación económica quienes alcancen el umbral técnico de {umbral} de {tecMax} puntos.</w:t>
      </w:r>
    </w:p>
    <w:tbl>
      <w:tblPr>
        <w:tblW w:type="dxa" w:w="9200"/>
        <w:tblBorders>
          <w:top w:val="single" w:color="D9DEEA" w:sz="4"/>
          <w:left w:val="single" w:color="D9DEEA" w:sz="4"/>
          <w:bottom w:val="single" w:color="D9DEEA" w:sz="4"/>
          <w:right w:val="single" w:color="D9DEEA" w:sz="4"/>
          <w:insideH w:val="single" w:color="D9DEEA" w:sz="4"/>
          <w:insideV w:val="single" w:color="D9DEEA" w:sz="4"/>
        </w:tblBorders>
      </w:tblPr>
      <w:tblGrid>
        <w:gridCol w:w="5000"/>
        <w:gridCol w:w="2400"/>
        <w:gridCol w:w="1800"/>
      </w:tblGrid>
      <w:tr>
        <w:tc>
          <w:tcPr>
            <w:tcW w:type="dxa" w:w="50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Proponente</w:t>
            </w:r>
          </w:p>
        </w:tc>
        <w:tc>
          <w:tcPr>
            <w:tcW w:type="dxa" w:w="24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Puntaje técnico (sobre {tecMax})</w:t>
            </w:r>
          </w:p>
        </w:tc>
        <w:tc>
          <w:tcPr>
            <w:tcW w:type="dxa" w:w="18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¿Supera el umbral?</w:t>
            </w:r>
          </w:p>
        </w:tc>
      </w:tr>
      <w:tr>
        <w:tc>
          <w:tcPr>
            <w:tcW w:type="dxa" w:w="5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{#tecnicos}{razon}</w:t>
            </w:r>
          </w:p>
        </w:tc>
        <w:tc>
          <w:tcPr>
            <w:tcW w:type="dxa" w:w="24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{tecnico}</w:t>
            </w:r>
          </w:p>
        </w:tc>
        <w:tc>
          <w:tcPr>
            <w:tcW w:type="dxa" w:w="18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{umbralRes}{/tecnicos}</w:t>
            </w:r>
          </w:p>
        </w:tc>
      </w:tr>
    </w:tbl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00249C"/>
          <w:sz w:val="24"/>
          <w:szCs w:val="24"/>
        </w:rPr>
        <w:t xml:space="preserve">Tercero — Revisión y evaluación de la oferta económica</w:t>
      </w:r>
    </w:p>
    <w:p>
      <w:p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Superada la evaluación técnica, la Comisión procede a la apertura y evaluación de las ofertas económicas de los proponentes calificados. El puntaje económico se asigna de forma inverso-proporcional a la oferta más baja.</w:t>
      </w:r>
    </w:p>
    <w:tbl>
      <w:tblPr>
        <w:tblW w:type="dxa" w:w="10000"/>
        <w:tblBorders>
          <w:top w:val="single" w:color="D9DEEA" w:sz="4"/>
          <w:left w:val="single" w:color="D9DEEA" w:sz="4"/>
          <w:bottom w:val="single" w:color="D9DEEA" w:sz="4"/>
          <w:right w:val="single" w:color="D9DEEA" w:sz="4"/>
          <w:insideH w:val="single" w:color="D9DEEA" w:sz="4"/>
          <w:insideV w:val="single" w:color="D9DEEA" w:sz="4"/>
        </w:tblBorders>
      </w:tblPr>
      <w:tblGrid>
        <w:gridCol w:w="2900"/>
        <w:gridCol w:w="1500"/>
        <w:gridCol w:w="1200"/>
        <w:gridCol w:w="1500"/>
        <w:gridCol w:w="1300"/>
        <w:gridCol w:w="1600"/>
      </w:tblGrid>
      <w:tr>
        <w:tc>
          <w:tcPr>
            <w:tcW w:type="dxa" w:w="29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Proponente</w:t>
            </w:r>
          </w:p>
        </w:tc>
        <w:tc>
          <w:tcPr>
            <w:tcW w:type="dxa" w:w="15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 IVA</w:t>
            </w:r>
          </w:p>
        </w:tc>
        <w:tc>
          <w:tcPr>
            <w:tcW w:type="dxa" w:w="12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IVA</w:t>
            </w:r>
          </w:p>
        </w:tc>
        <w:tc>
          <w:tcPr>
            <w:tcW w:type="dxa" w:w="15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Valor total</w:t>
            </w:r>
          </w:p>
        </w:tc>
        <w:tc>
          <w:tcPr>
            <w:tcW w:type="dxa" w:w="13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P. econ.</w:t>
            </w:r>
          </w:p>
        </w:tc>
        <w:tc>
          <w:tcPr>
            <w:tcW w:type="dxa" w:w="1600"/>
            <w:shd w:fill="EEF1FB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P. total</w:t>
            </w:r>
          </w:p>
        </w:tc>
      </w:tr>
      <w:tr>
        <w:tc>
          <w:tcPr>
            <w:tcW w:type="dxa" w:w="2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{#economicos}{razon}</w:t>
            </w:r>
          </w:p>
        </w:tc>
        <w:tc>
          <w:tcPr>
            <w:tcW w:type="dxa" w:w="15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{sinIva}</w:t>
            </w:r>
          </w:p>
        </w:tc>
        <w:tc>
          <w:tcPr>
            <w:tcW w:type="dxa" w:w="1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{iva}</w:t>
            </w:r>
          </w:p>
        </w:tc>
        <w:tc>
          <w:tcPr>
            <w:tcW w:type="dxa" w:w="15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{total}</w:t>
            </w:r>
          </w:p>
        </w:tc>
        <w:tc>
          <w:tcPr>
            <w:tcW w:type="dxa" w:w="13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{puntajeEco}</w:t>
            </w:r>
          </w:p>
        </w:tc>
        <w:tc>
          <w:tcPr>
            <w:tcW w:type="dxa" w:w="1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{puntajeTotal}{/economicos}</w:t>
            </w:r>
          </w:p>
        </w:tc>
      </w:tr>
    </w:tbl>
    <w:p>
      <w:pPr>
        <w:spacing w:after="60" w:line="276"/>
        <w:jc w:val="both"/>
      </w:pPr>
      <w:r>
        <w:rPr>
          <w:rFonts w:ascii="Calibri" w:cs="Calibri" w:eastAsia="Calibri" w:hAnsi="Calibri"/>
          <w:color w:val="6B7180"/>
          <w:sz w:val="19"/>
          <w:szCs w:val="19"/>
        </w:rPr>
        <w:t xml:space="preserve">Presupuesto referencial: {presupuesto}.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00249C"/>
          <w:sz w:val="24"/>
          <w:szCs w:val="24"/>
        </w:rPr>
        <w:t xml:space="preserve">Cuarto — Selección y adjudicación</w:t>
      </w:r>
    </w:p>
    <w:p>
      <w:pPr>
        <w:spacing w:after="10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☑ Recomienda la adjudicación</w:t>
      </w:r>
      <w:r>
        <w:rPr>
          <w:rFonts w:ascii="Calibri" w:cs="Calibri" w:eastAsia="Calibri" w:hAnsi="Calibri"/>
          <w:sz w:val="21"/>
          <w:szCs w:val="21"/>
        </w:rPr>
        <w:t xml:space="preserve"> a favor de {proveedor} con RUC {proveedorRuc}, por un valor total de {montoTotal} ({montoLetras}), por haber obtenido el mayor puntaje total entre las ofertas presentadas.</w:t>
      </w:r>
    </w:p>
    <w:p>
      <w:p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☐ Declara desierto el procedimiento por la siguiente razón: ___________________________________________.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00249C"/>
          <w:sz w:val="24"/>
          <w:szCs w:val="24"/>
        </w:rPr>
        <w:t xml:space="preserve">Quinto — Varios</w:t>
      </w:r>
    </w:p>
    <w:p>
      <w:p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Ninguno.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00249C"/>
          <w:sz w:val="24"/>
          <w:szCs w:val="24"/>
        </w:rPr>
        <w:t xml:space="preserve">Cierre de la sesión</w:t>
      </w:r>
    </w:p>
    <w:p>
      <w:p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No existiendo más puntos que tratar, se da por terminada la sesión. Se dispone a Secretaría notificar la presente resolución al adjudicatario y a los proponentes no adjudicados, y remitir el expediente a la Coordinación del FAP para la elaboración del instrumento jurídico correspondiente. Como constancia de lo actuado y resuelto, los/las miembros de la Comisión de Calificación suscriben la presente acta.</w:t>
      </w:r>
    </w:p>
    <w:p>
      <w:pPr>
        <w:spacing w:after="0" w:before="120"/>
      </w:pPr>
      <w:r>
        <w:rPr>
          <w:rFonts w:ascii="Calibri" w:cs="Calibri" w:eastAsia="Calibri" w:hAnsi="Calibri"/>
          <w:color w:val="FFFFFF"/>
          <w:sz w:val="2"/>
          <w:szCs w:val="2"/>
        </w:rPr>
        <w:t xml:space="preserve">{#comision}</w:t>
      </w:r>
    </w:p>
    <w:p>
      <w:pPr>
        <w:spacing w:after="0" w:before="220"/>
      </w:pPr>
      <w:r>
        <w:rPr>
          <w:rFonts w:ascii="Calibri" w:cs="Calibri" w:eastAsia="Calibri" w:hAnsi="Calibri"/>
          <w:sz w:val="21"/>
          <w:szCs w:val="21"/>
        </w:rPr>
        <w:t xml:space="preserve">______________________________________</w:t>
      </w:r>
    </w:p>
    <w:p>
      <w:pPr>
        <w:spacing w:after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{nombre}</w:t>
      </w:r>
    </w:p>
    <w:p>
      <w:pPr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{rol}</w:t>
      </w:r>
    </w:p>
    <w:p>
      <w:pPr>
        <w:spacing w:after="0"/>
      </w:pPr>
      <w:r>
        <w:rPr>
          <w:rFonts w:ascii="Calibri" w:cs="Calibri" w:eastAsia="Calibri" w:hAnsi="Calibri"/>
          <w:color w:val="6B7180"/>
          <w:sz w:val="19"/>
          <w:szCs w:val="19"/>
        </w:rPr>
        <w:t xml:space="preserve">{cargo}</w:t>
      </w:r>
    </w:p>
    <w:p>
      <w:pPr>
        <w:spacing w:after="0"/>
      </w:pPr>
      <w:r>
        <w:rPr>
          <w:rFonts w:ascii="Calibri" w:cs="Calibri" w:eastAsia="Calibri" w:hAnsi="Calibri"/>
          <w:color w:val="FFFFFF"/>
          <w:sz w:val="2"/>
          <w:szCs w:val="2"/>
        </w:rPr>
        <w:t xml:space="preserve">{/comision}</w:t>
      </w:r>
    </w:p>
    <w:sectPr>
      <w:headerReference w:type="default" r:id="rId7"/>
      <w:footerReference w:type="default" r:id="rId8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EEA" w:sz="6" w:space="4"/>
      </w:pBdr>
      <w:tabs>
        <w:tab w:val="right" w:pos="9840"/>
      </w:tabs>
    </w:pPr>
    <w:r>
      <w:rPr>
        <w:rFonts w:ascii="Calibri" w:cs="Calibri" w:eastAsia="Calibri" w:hAnsi="Calibri"/>
        <w:color w:val="6B7180"/>
        <w:sz w:val="15"/>
        <w:szCs w:val="15"/>
      </w:rPr>
      <w:t xml:space="preserve">Acta de calificación — FAP/FIAS</w:t>
    </w:r>
    <w:r>
      <w:rPr>
        <w:rFonts w:ascii="Calibri" w:cs="Calibri" w:eastAsia="Calibri" w:hAnsi="Calibri"/>
        <w:sz w:val="15"/>
        <w:szCs w:val="15"/>
      </w:rPr>
      <w:tab/>
    </w:r>
    <w:r>
      <w:rPr>
        <w:rFonts w:ascii="Calibri" w:cs="Calibri" w:eastAsia="Calibri" w:hAnsi="Calibri"/>
        <w:color w:val="6B7180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00249C"/>
        <w:sz w:val="18"/>
        <w:szCs w:val="18"/>
      </w:rPr>
      <w:t xml:space="preserve">FONDO DE INVERSIÓN AMBIENTAL SOSTENIBLE — FIAS</w:t>
    </w:r>
  </w:p>
  <w:p>
    <w:pPr>
      <w:pBdr>
        <w:bottom w:val="single" w:color="00249C" w:sz="12" w:space="4"/>
      </w:pBdr>
      <w:spacing w:after="60"/>
    </w:pPr>
    <w:r>
      <w:rPr>
        <w:rFonts w:ascii="Calibri" w:cs="Calibri" w:eastAsia="Calibri" w:hAnsi="Calibri"/>
        <w:color w:val="6B7180"/>
        <w:sz w:val="16"/>
        <w:szCs w:val="16"/>
      </w:rPr>
      <w:t xml:space="preserve">Programa Fondo de Áreas Protegidas (FAP) · Comisión de Calificación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153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adjudicación — Consultoría (por puntos)</dc:title>
  <dc:creator>FAP · FIAS</dc:creator>
  <cp:lastModifiedBy>Un-named</cp:lastModifiedBy>
  <cp:revision>1</cp:revision>
  <dcterms:created xsi:type="dcterms:W3CDTF">2026-07-21T21:14:41.728Z</dcterms:created>
  <dcterms:modified xsi:type="dcterms:W3CDTF">2026-07-21T21:14:41.747Z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