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INFORME DE SATISFACCIÓN Y ANÁLISIS DE RENOVACIÓN</w:t>
      </w:r>
    </w:p>
    <w:p>
      <w:pPr>
        <w:spacing w:after="6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Informe Nro. </w:t>
      </w:r>
      <w:r>
        <w:rPr>
          <w:rFonts w:ascii="Titillium Web" w:hAnsi="Titillium Web"/>
          <w:b/>
          <w:bCs/>
          <w:sz w:val="22"/>
          <w:szCs w:val="22"/>
        </w:rPr>
        <w:t xml:space="preserve">{memoNro}</w:t>
      </w:r>
    </w:p>
    <w:p>
      <w:pPr>
        <w:spacing w:after="24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{ciudad}, {fechaInforme}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1. ANTECEDENTES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Fondo de Inversión Ambiental Sostenible (FIAS), en su calidad de administrador de los recursos del Fondo de Áreas Protegidas (FAP), mantiene con </w:t>
      </w: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  <w:r>
        <w:rPr>
          <w:rFonts w:ascii="Titillium Web" w:hAnsi="Titillium Web"/>
          <w:sz w:val="22"/>
          <w:szCs w:val="22"/>
        </w:rPr>
        <w:t xml:space="preserve">, con RUC {proveedorRuc}, el contrato Nro. </w:t>
      </w:r>
      <w:r>
        <w:rPr>
          <w:rFonts w:ascii="Titillium Web" w:hAnsi="Titillium Web"/>
          <w:b/>
          <w:bCs/>
          <w:sz w:val="22"/>
          <w:szCs w:val="22"/>
        </w:rPr>
        <w:t xml:space="preserve">{contratoNro}</w:t>
      </w:r>
      <w:r>
        <w:rPr>
          <w:rFonts w:ascii="Titillium Web" w:hAnsi="Titillium Web"/>
          <w:sz w:val="22"/>
          <w:szCs w:val="22"/>
        </w:rPr>
        <w:t xml:space="preserve">, suscrito el {fechaContrato}, cuyo objeto es «</w:t>
      </w:r>
      <w:r>
        <w:rPr>
          <w:rFonts w:ascii="Titillium Web" w:hAnsi="Titillium Web"/>
          <w:b/>
          <w:bCs/>
          <w:sz w:val="22"/>
          <w:szCs w:val="22"/>
        </w:rPr>
        <w:t xml:space="preserve">{objeto}</w:t>
      </w:r>
      <w:r>
        <w:rPr>
          <w:rFonts w:ascii="Titillium Web" w:hAnsi="Titillium Web"/>
          <w:sz w:val="22"/>
          <w:szCs w:val="22"/>
        </w:rPr>
        <w:t xml:space="preserve">», por un monto de USD {montoTotal}, con vigencia hasta el {fechaFin}, para el {area}.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servicio es de carácter recurrente y su continuidad es necesaria para la operación del área protegida: la interrupción del servicio a partir del {arranqueSucesor} afectaría directamente la gestión del {area}.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2. VERIFICACIÓN DE LA CLÁUSULA DE RENOVACIÓN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Conforme a la Matriz de procesos de adquisición, contratación y renovación del FAP, la renovación procede únicamente cuando el contrato original la contempla expresamente y cuando el contrato vigente no es, a su vez, una renovación —el FIAS permite renovar una sola vez—.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Resultado de la verificación: </w:t>
      </w:r>
      <w:r>
        <w:rPr>
          <w:rFonts w:ascii="Titillium Web" w:hAnsi="Titillium Web"/>
          <w:sz w:val="22"/>
          <w:szCs w:val="22"/>
        </w:rPr>
        <w:t xml:space="preserve">{clausulaTexto}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3. EJECUCIÓN DEL SERVICIO Y CONFORMIDAD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Durante el período de vigencia del contrato, </w:t>
      </w: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  <w:r>
        <w:rPr>
          <w:rFonts w:ascii="Titillium Web" w:hAnsi="Titillium Web"/>
          <w:sz w:val="22"/>
          <w:szCs w:val="22"/>
        </w:rPr>
        <w:t xml:space="preserve"> prestó el servicio contratado en las condiciones, plazos y especificaciones pactadas. El detalle de lo ejecutado es el siguiente:</w:t>
      </w:r>
    </w:p>
    <w:tbl>
      <w:tblPr>
        <w:tblW w:w="892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520"/>
        <w:gridCol w:w="1100"/>
        <w:gridCol w:w="1300"/>
      </w:tblGrid>
      <w:tr>
        <w:trPr>
          <w:tblHeader/>
        </w:trPr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DESCRIPCIÓN Y ESPECIFICACIONES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CANT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UNIDAD</w:t>
            </w:r>
          </w:p>
        </w:tc>
      </w:tr>
      <w:tr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{#items}{desc}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{cantidad}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{unidad}{/items}</w:t>
            </w:r>
          </w:p>
        </w:tc>
      </w:tr>
    </w:tbl>
    <w:p>
      <w:pPr>
        <w:spacing w:after="120"/>
        <w:rPr>
          <w:rFonts w:ascii="Titillium Web" w:hAnsi="Titillium Web"/>
          <w:sz w:val="22"/>
          <w:szCs w:val="22"/>
        </w:rPr>
      </w:pP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La administración del contrato deja constancia de la </w:t>
      </w:r>
      <w:r>
        <w:rPr>
          <w:rFonts w:ascii="Titillium Web" w:hAnsi="Titillium Web"/>
          <w:b/>
          <w:bCs/>
          <w:sz w:val="22"/>
          <w:szCs w:val="22"/>
        </w:rPr>
        <w:t xml:space="preserve">entera satisfacción</w:t>
      </w:r>
      <w:r>
        <w:rPr>
          <w:rFonts w:ascii="Titillium Web" w:hAnsi="Titillium Web"/>
          <w:sz w:val="22"/>
          <w:szCs w:val="22"/>
        </w:rPr>
        <w:t xml:space="preserve"> con el servicio recibido: no se registraron incumplimientos, multas ni observaciones pendientes de subsanación durante el período informado.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4. ANÁLISIS TÉCNICO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{analisisTecnico}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5. ANÁLISIS GEOGRÁFICO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{analisisGeografico}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6. ANÁLISIS ECONÓMICO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consumo efectivamente ejecutado durante el período asciende a </w:t>
      </w:r>
      <w:r>
        <w:rPr>
          <w:rFonts w:ascii="Titillium Web" w:hAnsi="Titillium Web"/>
          <w:b/>
          <w:bCs/>
          <w:sz w:val="22"/>
          <w:szCs w:val="22"/>
        </w:rPr>
        <w:t xml:space="preserve">USD {consumoEjecutado}</w:t>
      </w:r>
      <w:r>
        <w:rPr>
          <w:rFonts w:ascii="Titillium Web" w:hAnsi="Titillium Web"/>
          <w:sz w:val="22"/>
          <w:szCs w:val="22"/>
        </w:rPr>
        <w:t xml:space="preserve">, frente a un valor contratado de USD {montoTotal}. Este consumo ejecutado —no el presupuesto del contrato vigente— es la base sobre la cual se solicitará la cotización del nuevo período, para evitar la subestimación que obliga a tramitar adendas de aumento de valor.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{analisisEconomico}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7. CONCLUSIÓN Y RECOMENDACIÓN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Con los antecedentes expuestos y verificada la cláusula de renovación, quien suscribe deja constancia de la satisfacción con el servicio prestado por </w:t>
      </w: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  <w:r>
        <w:rPr>
          <w:rFonts w:ascii="Titillium Web" w:hAnsi="Titillium Web"/>
          <w:sz w:val="22"/>
          <w:szCs w:val="22"/>
        </w:rPr>
        <w:t xml:space="preserve"> y </w:t>
      </w:r>
      <w:r>
        <w:rPr>
          <w:rFonts w:ascii="Titillium Web" w:hAnsi="Titillium Web"/>
          <w:b/>
          <w:bCs/>
          <w:sz w:val="22"/>
          <w:szCs w:val="22"/>
        </w:rPr>
        <w:t xml:space="preserve">recomienda renovar el contrato Nro. {contratoNro}</w:t>
      </w:r>
      <w:r>
        <w:rPr>
          <w:rFonts w:ascii="Titillium Web" w:hAnsi="Titillium Web"/>
          <w:sz w:val="22"/>
          <w:szCs w:val="22"/>
        </w:rPr>
        <w:t xml:space="preserve"> para el período comprendido entre el {periodoDesde} y el {periodoHasta}, por una sola vez, conforme lo permite el instrumento vigente.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monto del nuevo período se determinará una vez aprobado el Plan Anual de Gasto, con cargo al componente {partida} denominado «{lineaNombre}», de la fuente de financiamiento {fuente}. El contrato de renovación será elaborado por la Unidad Operativa del FAP.</w:t>
      </w:r>
    </w:p>
    <w:p>
      <w:pPr>
        <w:spacing w:after="200"/>
        <w:rPr>
          <w:rFonts w:ascii="Titillium Web" w:hAnsi="Titillium Web"/>
          <w:sz w:val="22"/>
          <w:szCs w:val="22"/>
        </w:rPr>
      </w:pPr>
    </w:p>
    <w:p>
      <w:pPr>
        <w:spacing w:after="200"/>
        <w:rPr>
          <w:rFonts w:ascii="Titillium Web" w:hAnsi="Titillium Web"/>
          <w:sz w:val="22"/>
          <w:szCs w:val="22"/>
        </w:rPr>
      </w:pPr>
    </w:p>
    <w:tbl>
      <w:tblPr>
        <w:tblW w:w="89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/>
      </w:tblPr>
      <w:tblGrid>
        <w:gridCol w:w="4460"/>
        <w:gridCol w:w="4460"/>
      </w:tblGrid>
      <w:t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______________________________</w:t>
            </w:r>
          </w:p>
          <w:p>
            <w:pPr>
              <w:spacing w:after="0"/>
              <w:jc w:val="center"/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{ac}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{AdminContador}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FIAS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______________________________</w:t>
            </w:r>
          </w:p>
          <w:p>
            <w:pPr>
              <w:spacing w:after="0"/>
              <w:jc w:val="center"/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{jefe}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{jefeCargo}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Ministerio del Ambiente y Energía</w:t>
            </w:r>
          </w:p>
        </w:tc>
      </w:tr>
    </w:tbl>
    <w:sectPr w:rsidR="003446D4" w:rsidRPr="006B2966" w:rsidSect="00DF05BD">
      <w:headerReference w:type="default" r:id="rId8"/>
      <w:footerReference w:type="default" r:id="rId9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C5C1D" w14:textId="77777777" w:rsidR="00FF65D2" w:rsidRDefault="00FF65D2" w:rsidP="006F3BBB">
      <w:r>
        <w:separator/>
      </w:r>
    </w:p>
  </w:endnote>
  <w:endnote w:type="continuationSeparator" w:id="0">
    <w:p w14:paraId="64BA2875" w14:textId="77777777" w:rsidR="00FF65D2" w:rsidRDefault="00FF65D2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10156" w14:textId="77777777" w:rsidR="00FF65D2" w:rsidRDefault="00FF65D2" w:rsidP="006F3BBB">
      <w:r>
        <w:separator/>
      </w:r>
    </w:p>
  </w:footnote>
  <w:footnote w:type="continuationSeparator" w:id="0">
    <w:p w14:paraId="3D28AB76" w14:textId="77777777" w:rsidR="00FF65D2" w:rsidRDefault="00FF65D2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AB6"/>
    <w:rsid w:val="00031A8C"/>
    <w:rsid w:val="00032328"/>
    <w:rsid w:val="00035348"/>
    <w:rsid w:val="0005193E"/>
    <w:rsid w:val="0005375C"/>
    <w:rsid w:val="00064E88"/>
    <w:rsid w:val="00073EB6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74AE6"/>
    <w:rsid w:val="00290A6A"/>
    <w:rsid w:val="002A53DA"/>
    <w:rsid w:val="002A779D"/>
    <w:rsid w:val="002B0115"/>
    <w:rsid w:val="002D1F80"/>
    <w:rsid w:val="002E037D"/>
    <w:rsid w:val="002F67C3"/>
    <w:rsid w:val="00303C4D"/>
    <w:rsid w:val="00311F8E"/>
    <w:rsid w:val="0032120F"/>
    <w:rsid w:val="0032524D"/>
    <w:rsid w:val="00327CD1"/>
    <w:rsid w:val="003313AC"/>
    <w:rsid w:val="00341F27"/>
    <w:rsid w:val="003446D4"/>
    <w:rsid w:val="00344CA6"/>
    <w:rsid w:val="00353EC7"/>
    <w:rsid w:val="00354F38"/>
    <w:rsid w:val="0036679D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5BC9"/>
    <w:rsid w:val="005A7507"/>
    <w:rsid w:val="005B12B0"/>
    <w:rsid w:val="005B5E69"/>
    <w:rsid w:val="005C407B"/>
    <w:rsid w:val="005F0DF0"/>
    <w:rsid w:val="006001CC"/>
    <w:rsid w:val="006068E1"/>
    <w:rsid w:val="00622605"/>
    <w:rsid w:val="00642D19"/>
    <w:rsid w:val="006433C5"/>
    <w:rsid w:val="006602EC"/>
    <w:rsid w:val="00677DE5"/>
    <w:rsid w:val="00680D70"/>
    <w:rsid w:val="00691699"/>
    <w:rsid w:val="0069277B"/>
    <w:rsid w:val="00696EF6"/>
    <w:rsid w:val="00697360"/>
    <w:rsid w:val="006B2966"/>
    <w:rsid w:val="006B7F87"/>
    <w:rsid w:val="006E4AD1"/>
    <w:rsid w:val="006F0740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5AF5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60C0"/>
    <w:rsid w:val="008537A1"/>
    <w:rsid w:val="00853F11"/>
    <w:rsid w:val="008557B8"/>
    <w:rsid w:val="00864128"/>
    <w:rsid w:val="00866489"/>
    <w:rsid w:val="00866598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F160C"/>
    <w:rsid w:val="00CF1758"/>
    <w:rsid w:val="00D028E0"/>
    <w:rsid w:val="00D04870"/>
    <w:rsid w:val="00D0506F"/>
    <w:rsid w:val="00D064BD"/>
    <w:rsid w:val="00D12524"/>
    <w:rsid w:val="00D13ACD"/>
    <w:rsid w:val="00D21192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21BD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E328AA18CC4708905E1A885BB88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51BD06-27B4-419B-92ED-3A771007296C}"/>
      </w:docPartPr>
      <w:docPartBody>
        <w:p w:rsidR="00000000" w:rsidRDefault="00F46033" w:rsidP="00F46033">
          <w:pPr>
            <w:pStyle w:val="40E328AA18CC4708905E1A885BB88AA2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D7E570C8EF9543BAAAE1E52E81A7E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4A647E-AC43-4AFA-8973-8BFB62E027DC}"/>
      </w:docPartPr>
      <w:docPartBody>
        <w:p w:rsidR="00000000" w:rsidRDefault="00F46033" w:rsidP="00F46033">
          <w:pPr>
            <w:pStyle w:val="D7E570C8EF9543BAAAE1E52E81A7E8D3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3139C6E1AD6E4AA1A73AA2B7658C8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85E64-D723-4AED-8B04-355497A49DBA}"/>
      </w:docPartPr>
      <w:docPartBody>
        <w:p w:rsidR="00000000" w:rsidRDefault="00F46033" w:rsidP="00F46033">
          <w:pPr>
            <w:pStyle w:val="3139C6E1AD6E4AA1A73AA2B7658C89DF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B0E98"/>
    <w:rsid w:val="001D2848"/>
    <w:rsid w:val="002B1763"/>
    <w:rsid w:val="005D3922"/>
    <w:rsid w:val="0061129E"/>
    <w:rsid w:val="00762361"/>
    <w:rsid w:val="00896054"/>
    <w:rsid w:val="008D1DA4"/>
    <w:rsid w:val="00A03C80"/>
    <w:rsid w:val="00A568A9"/>
    <w:rsid w:val="00AC028B"/>
    <w:rsid w:val="00B15228"/>
    <w:rsid w:val="00B5674E"/>
    <w:rsid w:val="00B9376D"/>
    <w:rsid w:val="00C00BD1"/>
    <w:rsid w:val="00D230FF"/>
    <w:rsid w:val="00DD1E15"/>
    <w:rsid w:val="00EF21B0"/>
    <w:rsid w:val="00F4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46033"/>
    <w:rPr>
      <w:color w:val="666666"/>
    </w:rPr>
  </w:style>
  <w:style w:type="paragraph" w:customStyle="1" w:styleId="B6877B42340B4090A39BA0A1674AA0E2">
    <w:name w:val="B6877B42340B4090A39BA0A1674AA0E2"/>
    <w:rsid w:val="00B5674E"/>
  </w:style>
  <w:style w:type="paragraph" w:customStyle="1" w:styleId="7780FFF4FFA6436081A2E0DD84932821">
    <w:name w:val="7780FFF4FFA6436081A2E0DD84932821"/>
    <w:rsid w:val="00B5674E"/>
  </w:style>
  <w:style w:type="paragraph" w:customStyle="1" w:styleId="60A9796A887C4F1BB697C6665A42DB4B">
    <w:name w:val="60A9796A887C4F1BB697C6665A42DB4B"/>
    <w:rsid w:val="00B5674E"/>
  </w:style>
  <w:style w:type="paragraph" w:customStyle="1" w:styleId="689D1BA82F734FBEA91DDB4DE027FB94">
    <w:name w:val="689D1BA82F734FBEA91DDB4DE027FB94"/>
    <w:rsid w:val="0061129E"/>
  </w:style>
  <w:style w:type="paragraph" w:customStyle="1" w:styleId="40E328AA18CC4708905E1A885BB88AA2">
    <w:name w:val="40E328AA18CC4708905E1A885BB88AA2"/>
    <w:rsid w:val="00F46033"/>
  </w:style>
  <w:style w:type="paragraph" w:customStyle="1" w:styleId="D7E570C8EF9543BAAAE1E52E81A7E8D3">
    <w:name w:val="D7E570C8EF9543BAAAE1E52E81A7E8D3"/>
    <w:rsid w:val="00F46033"/>
  </w:style>
  <w:style w:type="paragraph" w:customStyle="1" w:styleId="3139C6E1AD6E4AA1A73AA2B7658C89DF">
    <w:name w:val="3139C6E1AD6E4AA1A73AA2B7658C89DF"/>
    <w:rsid w:val="00F460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satisfacción y análisis de renovación</dc:title>
  <dc:subject/>
  <dc:creator>Diego Rodríguez</dc:creator>
  <cp:keywords/>
  <cp:lastModifiedBy>Rodriguez Diego</cp:lastModifiedBy>
  <cp:revision>7</cp:revision>
  <cp:lastPrinted>2021-03-03T20:09:00Z</cp:lastPrinted>
  <dcterms:created xsi:type="dcterms:W3CDTF">2026-06-04T14:41:00Z</dcterms:created>
  <dcterms:modified xsi:type="dcterms:W3CDTF">2026-06-28T14:21:00Z</dcterms:modified>
</cp:coreProperties>
</file>