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20"/>
        <w:jc w:val="center"/>
      </w:pPr>
      <w:r>
        <w:rPr>
          <w:rFonts w:ascii="Calibri" w:cs="Calibri" w:eastAsia="Calibri" w:hAnsi="Calibri"/>
          <w:b/>
          <w:bCs/>
          <w:color w:val="0B153F"/>
          <w:sz w:val="28"/>
          <w:szCs w:val="28"/>
        </w:rPr>
        <w:t xml:space="preserve">ACTA N.º {actaNo}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Acta de calificación, selección y adjudicación — Concurso de ofertas (calificación por puntos)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Datos del proceso</w:t>
      </w:r>
    </w:p>
    <w:tbl>
      <w:tblPr>
        <w:tblW w:type="dxa" w:w="90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3400"/>
        <w:gridCol w:w="5600"/>
      </w:tblGrid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Objeto de la contratación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{objeto}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Área protegida / instancia beneficiaria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{area}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Modalidad de selección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{modalidad}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Presupuesto referencial (USD)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{presupuesto}  ({presupuestoLetras})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Fuente de financiamiento / PAG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{partida} — {lineaNombre}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de invitación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{fechaInvitacion}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Plazo para presentación de ofertas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{fechaLimite}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Puntaje total del proceso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{puntosTotal} puntos · Umbral técnico: {umbral} de {tecMax}</w:t>
            </w:r>
          </w:p>
        </w:tc>
      </w:tr>
    </w:tbl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Inicio de sesión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día {fechaSesion}, a las {horaSesion} horas, en {lugarSesion}, se reúnen los miembros de la Comisión de Calificación, convocados por su Presidencia a través de Secretaría, para tratar el proceso de referencia.</w:t>
      </w:r>
    </w:p>
    <w:p>
      <w:pPr>
        <w:spacing w:after="4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Constatación de quórum:</w:t>
      </w:r>
    </w:p>
    <w:tbl>
      <w:tblPr>
        <w:tblW w:type="dxa" w:w="94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3000"/>
        <w:gridCol w:w="3200"/>
        <w:gridCol w:w="1800"/>
        <w:gridCol w:w="1400"/>
      </w:tblGrid>
      <w:tr>
        <w:tc>
          <w:tcPr>
            <w:tcW w:type="dxa" w:w="30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</w:t>
            </w:r>
          </w:p>
        </w:tc>
        <w:tc>
          <w:tcPr>
            <w:tcW w:type="dxa" w:w="32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Cargo institucional</w:t>
            </w:r>
          </w:p>
        </w:tc>
        <w:tc>
          <w:tcPr>
            <w:tcW w:type="dxa" w:w="18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 en la Comisión</w:t>
            </w:r>
          </w:p>
        </w:tc>
        <w:tc>
          <w:tcPr>
            <w:tcW w:type="dxa" w:w="1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Asistencia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{#comision}{nombre}</w:t>
            </w:r>
          </w:p>
        </w:tc>
        <w:tc>
          <w:tcPr>
            <w:tcW w:type="dxa" w:w="3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{cargo}</w:t>
            </w:r>
          </w:p>
        </w:tc>
        <w:tc>
          <w:tcPr>
            <w:tcW w:type="dxa" w:w="18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{rol}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Presencial / Virtual{/comision}</w:t>
            </w:r>
          </w:p>
        </w:tc>
      </w:tr>
    </w:tbl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Constatado el quórum reglamentario, la Presidencia declara instalada la sesión y dispone dar lectura al orden del día: (1) antecedentes del proceso; (2) revisión y evaluación de ofertas técnicas; (3) revisión y evaluación de ofertas económicas; (4) selección y adjudicación; (5) varios.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Primero — Antecedentes del proceso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Mediante memorando/resolución N.º {memoNro}, de fecha {fechaInicio}, se solicitó el inicio del proceso de {modalidad} para “{objeto}”. El presupuesto referencial corresponde a {presupuesto} ({presupuestoLetras}), previsto en el PAG aprobado. Se remitieron las invitaciones a proveedores calificados por el FIAS, recibiéndose las siguientes ofertas dentro del plazo previsto (hasta {fechaLimite}):</w:t>
      </w:r>
    </w:p>
    <w:tbl>
      <w:tblPr>
        <w:tblW w:type="dxa" w:w="92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4600"/>
        <w:gridCol w:w="2000"/>
        <w:gridCol w:w="1200"/>
        <w:gridCol w:w="1400"/>
      </w:tblGrid>
      <w:tr>
        <w:tc>
          <w:tcPr>
            <w:tcW w:type="dxa" w:w="46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Proponente</w:t>
            </w:r>
          </w:p>
        </w:tc>
        <w:tc>
          <w:tcPr>
            <w:tcW w:type="dxa" w:w="20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de entrega</w:t>
            </w:r>
          </w:p>
        </w:tc>
        <w:tc>
          <w:tcPr>
            <w:tcW w:type="dxa" w:w="12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1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4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{#provs}{razon}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____________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__:__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tiempo{/provs}</w:t>
            </w:r>
          </w:p>
        </w:tc>
      </w:tr>
    </w:tbl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Segundo — Revisión y evaluación de la oferta técnica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La Comisión califica las propuestas técnicas conforme a los criterios de las bases (perfil profesional y oferta técnica). Solo pasan a la evaluación económica quienes alcancen el umbral técnico de {umbral} de {tecMax} puntos.</w:t>
      </w:r>
    </w:p>
    <w:tbl>
      <w:tblPr>
        <w:tblW w:type="dxa" w:w="92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5000"/>
        <w:gridCol w:w="2400"/>
        <w:gridCol w:w="1800"/>
      </w:tblGrid>
      <w:tr>
        <w:tc>
          <w:tcPr>
            <w:tcW w:type="dxa" w:w="50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Proponente</w:t>
            </w:r>
          </w:p>
        </w:tc>
        <w:tc>
          <w:tcPr>
            <w:tcW w:type="dxa" w:w="2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Puntaje técnico (sobre {tecMax})</w:t>
            </w:r>
          </w:p>
        </w:tc>
        <w:tc>
          <w:tcPr>
            <w:tcW w:type="dxa" w:w="18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¿Supera el umbral?</w:t>
            </w:r>
          </w:p>
        </w:tc>
      </w:tr>
      <w:tr>
        <w:tc>
          <w:tcPr>
            <w:tcW w:type="dxa" w:w="5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{#tecnicos}{razon}</w:t>
            </w:r>
          </w:p>
        </w:tc>
        <w:tc>
          <w:tcPr>
            <w:tcW w:type="dxa" w:w="2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{tecnico}</w:t>
            </w:r>
          </w:p>
        </w:tc>
        <w:tc>
          <w:tcPr>
            <w:tcW w:type="dxa" w:w="18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{umbralRes}{/tecnicos}</w:t>
            </w:r>
          </w:p>
        </w:tc>
      </w:tr>
    </w:tbl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Tercero — Revisión y evaluación de la oferta económica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Superada la evaluación técnica, la Comisión procede a la apertura de las ofertas económicas de los proponentes calificados, con el siguiente detalle:</w:t>
      </w:r>
    </w:p>
    <w:p>
      <w:pPr>
        <w:spacing w:after="40" w:line="276"/>
        <w:jc w:val="both"/>
      </w:pPr>
      <w:r>
        <w:rPr>
          <w:rFonts w:ascii="Calibri" w:cs="Calibri" w:eastAsia="Calibri" w:hAnsi="Calibri"/>
          <w:b/>
          <w:bCs/>
          <w:color w:val="00249C"/>
          <w:sz w:val="21"/>
          <w:szCs w:val="21"/>
        </w:rPr>
        <w:t xml:space="preserve">a) Ofertas económicas presentadas</w:t>
      </w:r>
    </w:p>
    <w:tbl>
      <w:tblPr>
        <w:tblW w:type="dxa" w:w="94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2900"/>
        <w:gridCol w:w="1700"/>
        <w:gridCol w:w="1450"/>
        <w:gridCol w:w="1750"/>
        <w:gridCol w:w="1600"/>
      </w:tblGrid>
      <w:tr>
        <w:tc>
          <w:tcPr>
            <w:tcW w:type="dxa" w:w="29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Proponente</w:t>
            </w:r>
          </w:p>
        </w:tc>
        <w:tc>
          <w:tcPr>
            <w:tcW w:type="dxa" w:w="17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Valor sin IVA (USD)</w:t>
            </w:r>
          </w:p>
        </w:tc>
        <w:tc>
          <w:tcPr>
            <w:tcW w:type="dxa" w:w="145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IVA (USD)</w:t>
            </w:r>
          </w:p>
        </w:tc>
        <w:tc>
          <w:tcPr>
            <w:tcW w:type="dxa" w:w="175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Valor total (USD)</w:t>
            </w:r>
          </w:p>
        </w:tc>
        <w:tc>
          <w:tcPr>
            <w:tcW w:type="dxa" w:w="16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¿Se ajusta al presupuesto?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{#economicos}{razon}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{sinIva}</w:t>
            </w:r>
          </w:p>
        </w:tc>
        <w:tc>
          <w:tcPr>
            <w:tcW w:type="dxa" w:w="145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{iva}</w:t>
            </w:r>
          </w:p>
        </w:tc>
        <w:tc>
          <w:tcPr>
            <w:tcW w:type="dxa" w:w="175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{total}</w:t>
            </w:r>
          </w:p>
        </w:tc>
        <w:tc>
          <w:tcPr>
            <w:tcW w:type="dxa" w:w="1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{enPresupuesto}{/economicos}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color w:val="6B7180"/>
          <w:sz w:val="19"/>
          <w:szCs w:val="19"/>
        </w:rPr>
        <w:t xml:space="preserve">Presupuesto referencial: {presupuesto} ({presupuestoLetras}).</w:t>
      </w:r>
    </w:p>
    <w:p>
      <w:pPr>
        <w:spacing w:after="40" w:line="276"/>
        <w:jc w:val="both"/>
      </w:pPr>
      <w:r>
        <w:rPr>
          <w:rFonts w:ascii="Calibri" w:cs="Calibri" w:eastAsia="Calibri" w:hAnsi="Calibri"/>
          <w:b/>
          <w:bCs/>
          <w:color w:val="00249C"/>
          <w:sz w:val="21"/>
          <w:szCs w:val="21"/>
        </w:rPr>
        <w:t xml:space="preserve">b) Puntaje final y orden de prelación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puntaje económico se asigna de forma inverso-proporcional a la oferta más baja — Puntaje económico = {pesoEco} × (precio más bajo ÷ precio del oferente) — y el puntaje final es la suma del técnico más el económico:</w:t>
      </w:r>
    </w:p>
    <w:tbl>
      <w:tblPr>
        <w:tblW w:type="dxa" w:w="984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900"/>
        <w:gridCol w:w="3240"/>
        <w:gridCol w:w="1900"/>
        <w:gridCol w:w="1900"/>
        <w:gridCol w:w="1900"/>
      </w:tblGrid>
      <w:tr>
        <w:tc>
          <w:tcPr>
            <w:tcW w:type="dxa" w:w="9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Orden</w:t>
            </w:r>
          </w:p>
        </w:tc>
        <w:tc>
          <w:tcPr>
            <w:tcW w:type="dxa" w:w="324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Proponente</w:t>
            </w:r>
          </w:p>
        </w:tc>
        <w:tc>
          <w:tcPr>
            <w:tcW w:type="dxa" w:w="19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Técnico (sobre {tecMax})</w:t>
            </w:r>
          </w:p>
        </w:tc>
        <w:tc>
          <w:tcPr>
            <w:tcW w:type="dxa" w:w="19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Económico (sobre {pesoEco})</w:t>
            </w:r>
          </w:p>
        </w:tc>
        <w:tc>
          <w:tcPr>
            <w:tcW w:type="dxa" w:w="19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Puntaje final (sobre {puntosTotal})</w:t>
            </w:r>
          </w:p>
        </w:tc>
      </w:tr>
      <w:tr>
        <w:tc>
          <w:tcPr>
            <w:tcW w:type="dxa" w:w="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{#prelacion}{orden}</w:t>
            </w:r>
          </w:p>
        </w:tc>
        <w:tc>
          <w:tcPr>
            <w:tcW w:type="dxa" w:w="324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{razon}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{tec}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{eco}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{totalPts}{/prelacion}</w:t>
            </w:r>
          </w:p>
        </w:tc>
      </w:tr>
    </w:tbl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Cuarto — Selección y adjudicación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☑ Recomienda la adjudicación</w:t>
      </w:r>
      <w:r>
        <w:rPr>
          <w:rFonts w:ascii="Calibri" w:cs="Calibri" w:eastAsia="Calibri" w:hAnsi="Calibri"/>
          <w:sz w:val="21"/>
          <w:szCs w:val="21"/>
        </w:rPr>
        <w:t xml:space="preserve"> a favor de {proveedor} con RUC {proveedorRuc}, por un valor total de {montoTotal} ({montoLetras}), por haber obtenido el mayor puntaje total entre las ofertas presentadas.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☐ Declara desierto el procedimiento por la siguiente razón: ___________________________________________.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Quinto — Varios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Ninguno.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Cierre de la sesión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No existiendo más puntos que tratar, se da por terminada la sesión. Se dispone a Secretaría notificar la presente resolución al adjudicatario y a los proponentes no adjudicados, y remitir el expediente a la Coordinación del FAP para la elaboración del instrumento jurídico correspondiente. Como constancia de lo actuado y resuelto, los/las miembros de la Comisión de Calificación suscriben la presente acta.</w:t>
      </w:r>
    </w:p>
    <w:p>
      <w:pPr>
        <w:spacing w:after="0" w:before="12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{#comision}</w:t>
      </w:r>
    </w:p>
    <w:p>
      <w:pPr>
        <w:spacing w:after="0" w:before="220"/>
      </w:pPr>
      <w:r>
        <w:rPr>
          <w:rFonts w:ascii="Calibri" w:cs="Calibri" w:eastAsia="Calibri" w:hAnsi="Calibri"/>
          <w:sz w:val="21"/>
          <w:szCs w:val="21"/>
        </w:rPr>
        <w:t xml:space="preserve">______________________________________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{nombre}</w:t>
      </w:r>
    </w:p>
    <w:p>
      <w:pPr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{rol}</w:t>
      </w:r>
    </w:p>
    <w:p>
      <w:pPr>
        <w:spacing w:after="0"/>
      </w:pPr>
      <w:r>
        <w:rPr>
          <w:rFonts w:ascii="Calibri" w:cs="Calibri" w:eastAsia="Calibri" w:hAnsi="Calibri"/>
          <w:color w:val="6B7180"/>
          <w:sz w:val="19"/>
          <w:szCs w:val="19"/>
        </w:rPr>
        <w:t xml:space="preserve">{cargo}</w:t>
      </w:r>
    </w:p>
    <w:p>
      <w:pPr>
        <w:spacing w:after="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{/comision}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A" w:sz="6" w:space="4"/>
      </w:pBdr>
      <w:tabs>
        <w:tab w:val="right" w:pos="9840"/>
      </w:tabs>
    </w:pPr>
    <w:r>
      <w:rPr>
        <w:rFonts w:ascii="Calibri" w:cs="Calibri" w:eastAsia="Calibri" w:hAnsi="Calibri"/>
        <w:color w:val="6B7180"/>
        <w:sz w:val="15"/>
        <w:szCs w:val="15"/>
      </w:rPr>
      <w:t xml:space="preserve">Acta de calificación — FAP/FIAS</w:t>
    </w:r>
    <w:r>
      <w:rPr>
        <w:rFonts w:ascii="Calibri" w:cs="Calibri" w:eastAsia="Calibri" w:hAnsi="Calibri"/>
        <w:sz w:val="15"/>
        <w:szCs w:val="15"/>
      </w:rPr>
      <w:tab/>
    </w:r>
    <w:r>
      <w:rPr>
        <w:rFonts w:ascii="Calibri" w:cs="Calibri" w:eastAsia="Calibri" w:hAnsi="Calibri"/>
        <w:color w:val="6B7180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00249C"/>
        <w:sz w:val="18"/>
        <w:szCs w:val="18"/>
      </w:rPr>
      <w:t xml:space="preserve">FONDO DE INVERSIÓN AMBIENTAL SOSTENIBLE — FIAS</w:t>
    </w:r>
  </w:p>
  <w:p>
    <w:pPr>
      <w:pBdr>
        <w:bottom w:val="single" w:color="00249C" w:sz="12" w:space="4"/>
      </w:pBdr>
      <w:spacing w:after="60"/>
    </w:pPr>
    <w:r>
      <w:rPr>
        <w:rFonts w:ascii="Calibri" w:cs="Calibri" w:eastAsia="Calibri" w:hAnsi="Calibri"/>
        <w:color w:val="6B7180"/>
        <w:sz w:val="16"/>
        <w:szCs w:val="16"/>
      </w:rPr>
      <w:t xml:space="preserve">Programa Fondo de Áreas Protegidas (FAP) · Comisión de Calificación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3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adjudicación — Consultoría (por puntos)</dc:title>
  <dc:creator>FAP · FIAS</dc:creator>
  <cp:lastModifiedBy>Un-named</cp:lastModifiedBy>
  <cp:revision>1</cp:revision>
  <dcterms:created xsi:type="dcterms:W3CDTF">2026-07-21T21:46:17.402Z</dcterms:created>
  <dcterms:modified xsi:type="dcterms:W3CDTF">2026-07-21T21:46:17.416Z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