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FONDO DE INVERSIÓN AMBIENTAL SOSTENIBLE — FIAS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180"/>
          <w:sz w:val="20"/>
          <w:szCs w:val="20"/>
        </w:rPr>
        <w:t xml:space="preserve">PROGRAMA FONDO DE ÁREAS PROTEGIDAS (FAP)</w:t>
      </w:r>
    </w:p>
    <w:p>
      <w:pPr>
        <w:shd w:fill="00249C" w:val="clear"/>
        <w:spacing w:after="6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BASES DE CONCURSO · CONSULTORÍA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“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[OBJETO DE LA CONTRATACIÓN]</w:t>
      </w:r>
      <w:r>
        <w:rPr>
          <w:rFonts w:ascii="Calibri" w:cs="Calibri" w:eastAsia="Calibri" w:hAnsi="Calibri"/>
          <w:sz w:val="21"/>
          <w:szCs w:val="21"/>
        </w:rPr>
        <w:t xml:space="preserve">”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6B7180"/>
          <w:sz w:val="21"/>
          <w:szCs w:val="21"/>
        </w:rPr>
        <w:t xml:space="preserve">Código del proceso: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[FIAS-FAP-AAAA-NN]</w:t>
      </w:r>
    </w:p>
    <w:p>
      <w:pPr>
        <w:pBdr>
          <w:left w:val="single" w:color="00249C" w:sz="18" w:space="8"/>
        </w:pBdr>
        <w:shd w:fill="EEF1FB" w:val="clear"/>
        <w:spacing w:after="120" w:before="60" w:line="264"/>
        <w:ind w:left="120" w:right="120"/>
      </w:pPr>
      <w:r>
        <w:rPr>
          <w:rFonts w:ascii="Calibri" w:cs="Calibri" w:eastAsia="Calibri" w:hAnsi="Calibri"/>
          <w:b/>
          <w:bCs/>
          <w:color w:val="00249C"/>
          <w:sz w:val="18"/>
          <w:szCs w:val="18"/>
        </w:rPr>
        <w:t xml:space="preserve">Instrucción de llenado: </w:t>
      </w:r>
      <w:r>
        <w:rPr>
          <w:rFonts w:ascii="Calibri" w:cs="Calibri" w:eastAsia="Calibri" w:hAnsi="Calibri"/>
          <w:i/>
          <w:iCs/>
          <w:color w:val="0B153F"/>
          <w:sz w:val="18"/>
          <w:szCs w:val="18"/>
        </w:rPr>
        <w:t xml:space="preserve">Esta es una plantilla estándar del FAP/FIAS para procesos de selección de consultorías por convocatoria, con calificación POR PUNTOS. Reemplace todos los campos entre [CORCHETES] y ajuste los criterios de calificación según los Términos de Referencia. La sección de calificación (Capítulo III, numeral 3.4) puede generarse automáticamente y de forma idéntica desde la herramienta “Calificador de Ofertas” del FAP.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Capítulo I. Información general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1.1 Objeto de la contratación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procedimiento precontractual tiene por objeto contratar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[un/a Consultor/a y su equipo]</w:t>
      </w:r>
      <w:r>
        <w:rPr>
          <w:rFonts w:ascii="Calibri" w:cs="Calibri" w:eastAsia="Calibri" w:hAnsi="Calibri"/>
          <w:sz w:val="21"/>
          <w:szCs w:val="21"/>
        </w:rPr>
        <w:t xml:space="preserve"> para: “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[OBJETO]</w:t>
      </w:r>
      <w:r>
        <w:rPr>
          <w:rFonts w:ascii="Calibri" w:cs="Calibri" w:eastAsia="Calibri" w:hAnsi="Calibri"/>
          <w:sz w:val="21"/>
          <w:szCs w:val="21"/>
        </w:rPr>
        <w:t xml:space="preserve">”, cuyo alcance es: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[describir el alcance / propósito]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1.2 Condiciones generales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Participantes: consultores/as, personas naturales o jurídicas, domiciliadas en el país, que demuestren su interés dentro de los plazos establecidos.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Obligaciones de los oferentes: revisar cuidadosamente los documentos y cumplir todos los requisitos. La omisión no releva de obligaciones ni genera derecho a reclamo.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Costos de preparación: los sufraga el oferente; el FIAS no es responsable por dichos costos.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Tipo de contrato: de carácter civil.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Monto de la propuesta: cubrirá sueldos y beneficios del personal, pasajes, movilización y viáticos, con el detalle del formato respectivo.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Validez de la propuesta: no menor a treinta (30) días calendario desde la fecha límite de presentación.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Impuestos: el oferente considerará todos los impuestos, tasas y contribuciones aplicables (LRTI y normativa vigente).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Capítulo II. Aclaraciones y modificaciones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Los interesados podrán solicitar aclaraciones por escrito a los correos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[correo1@fias.org.ec]</w:t>
      </w:r>
      <w:r>
        <w:rPr>
          <w:rFonts w:ascii="Calibri" w:cs="Calibri" w:eastAsia="Calibri" w:hAnsi="Calibri"/>
          <w:sz w:val="21"/>
          <w:szCs w:val="21"/>
        </w:rPr>
        <w:t xml:space="preserve"> y </w:t>
      </w:r>
      <w:r>
        <w:rPr>
          <w:rFonts w:ascii="Calibri" w:cs="Calibri" w:eastAsia="Calibri" w:hAnsi="Calibri"/>
          <w:b/>
          <w:bCs/>
          <w:i/>
          <w:iCs/>
          <w:color w:val="00249C"/>
          <w:sz w:val="21"/>
          <w:szCs w:val="21"/>
        </w:rPr>
        <w:t xml:space="preserve">[correo2@fias.org.ec]</w:t>
      </w:r>
      <w:r>
        <w:rPr>
          <w:rFonts w:ascii="Calibri" w:cs="Calibri" w:eastAsia="Calibri" w:hAnsi="Calibri"/>
          <w:sz w:val="21"/>
          <w:szCs w:val="21"/>
        </w:rPr>
        <w:t xml:space="preserve">, dentro de las fechas del cronograma. El FIAS responderá con copia a todos los participantes. Solo las aclaraciones oficiales del FIAS tienen validez. El FIAS podrá, hasta la mitad del término de presentación, emitir modificaciones que no cambien el objeto, y ampliar el término cuando existan causas justificadas.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Capítulo III. Documentos de la propuesta: contenido, presentación y calificación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3.1 Idioma y requisitos formales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propuesta y la correspondencia se presentarán en castellano. Los documentos del exterior se legalizarán/apostillarán. Los documentos se presentarán foliados y rubricados, y en soporte digital (USB) idéntico al físico; la discrepancia entre físico y digital es causa de rechazo.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3.2 Contenido de los sobres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Sobre 1 — Propuesta técnica: </w:t>
      </w:r>
      <w:r>
        <w:rPr>
          <w:rFonts w:ascii="Calibri" w:cs="Calibri" w:eastAsia="Calibri" w:hAnsi="Calibri"/>
          <w:sz w:val="21"/>
          <w:szCs w:val="21"/>
        </w:rPr>
        <w:t xml:space="preserve">carta de presentación y compromiso; certificados SRI e IESS al día; certificados bancarios; y documentos de experiencia del Líder de Equipo (hoja de vida con respaldos, experiencia general, conocimientos técnicos).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Sobre 2 — Oferta económica: </w:t>
      </w:r>
      <w:r>
        <w:rPr>
          <w:rFonts w:ascii="Calibri" w:cs="Calibri" w:eastAsia="Calibri" w:hAnsi="Calibri"/>
          <w:sz w:val="21"/>
          <w:szCs w:val="21"/>
        </w:rPr>
        <w:t xml:space="preserve">detalle de costos por producto conforme a los TdR y a los numerales de monto e impuestos de estas bases.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3.3 Metodología de calificación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calificación se realiza sobre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100 puntos</w:t>
      </w:r>
      <w:r>
        <w:rPr>
          <w:rFonts w:ascii="Calibri" w:cs="Calibri" w:eastAsia="Calibri" w:hAnsi="Calibri"/>
          <w:sz w:val="21"/>
          <w:szCs w:val="21"/>
        </w:rPr>
        <w:t xml:space="preserve">, distribuidos en tres parámetros: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Perfil profesional, Oferta técnica y Oferta económica</w:t>
      </w:r>
      <w:r>
        <w:rPr>
          <w:rFonts w:ascii="Calibri" w:cs="Calibri" w:eastAsia="Calibri" w:hAnsi="Calibri"/>
          <w:sz w:val="21"/>
          <w:szCs w:val="21"/>
        </w:rPr>
        <w:t xml:space="preserve">. El puntaje técnico es la suma de perfil + oferta técnica; la oferta económica se asigna de forma inverso-proporcional a la oferta más baja.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3.4 Criterios y subcriterios de calificación (sobre 100 puntos)</w:t>
      </w:r>
    </w:p>
    <w:p>
      <w:pPr>
        <w:pBdr>
          <w:left w:val="single" w:color="00249C" w:sz="18" w:space="8"/>
        </w:pBdr>
        <w:shd w:fill="EEF1FB" w:val="clear"/>
        <w:spacing w:after="120" w:before="60" w:line="264"/>
        <w:ind w:left="120" w:right="120"/>
      </w:pPr>
      <w:r>
        <w:rPr>
          <w:rFonts w:ascii="Calibri" w:cs="Calibri" w:eastAsia="Calibri" w:hAnsi="Calibri"/>
          <w:b/>
          <w:bCs/>
          <w:color w:val="00249C"/>
          <w:sz w:val="18"/>
          <w:szCs w:val="18"/>
        </w:rPr>
        <w:t xml:space="preserve">Instrucción de llenado: </w:t>
      </w:r>
      <w:r>
        <w:rPr>
          <w:rFonts w:ascii="Calibri" w:cs="Calibri" w:eastAsia="Calibri" w:hAnsi="Calibri"/>
          <w:i/>
          <w:iCs/>
          <w:color w:val="0B153F"/>
          <w:sz w:val="18"/>
          <w:szCs w:val="18"/>
        </w:rPr>
        <w:t xml:space="preserve">Ajuste los criterios, los puntos y el umbral según los TdR. Los puntos de cada parámetro deben sumar 100. Genere esta misma tabla desde el “Calificador de Ofertas” para garantizar coherencia entre las bases y la evaluación.</w:t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color w:val="00249C"/>
          <w:sz w:val="21"/>
          <w:szCs w:val="21"/>
        </w:rPr>
        <w:t xml:space="preserve">a) Perfil profesional — 35 puntos</w:t>
      </w:r>
    </w:p>
    <w:tbl>
      <w:tblPr>
        <w:tblW w:type="dxa" w:w="8700"/>
        <w:tblBorders>
          <w:top w:val="single" w:color="D9DEEA" w:sz="4"/>
          <w:left w:val="single" w:color="D9DEEA" w:sz="4"/>
          <w:bottom w:val="single" w:color="D9DEEA" w:sz="4"/>
          <w:right w:val="single" w:color="D9DEEA" w:sz="4"/>
          <w:insideH w:val="single" w:color="D9DEEA" w:sz="4"/>
          <w:insideV w:val="single" w:color="D9DEEA" w:sz="4"/>
        </w:tblBorders>
      </w:tblPr>
      <w:tblGrid>
        <w:gridCol w:w="7300"/>
        <w:gridCol w:w="1400"/>
      </w:tblGrid>
      <w:tr>
        <w:tc>
          <w:tcPr>
            <w:tcW w:type="dxa" w:w="73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Criterio de evaluación</w:t>
            </w:r>
          </w:p>
        </w:tc>
        <w:tc>
          <w:tcPr>
            <w:tcW w:type="dxa" w:w="14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Puntos</w:t>
            </w:r>
          </w:p>
        </w:tc>
      </w:tr>
      <w:tr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Título de tercer nivel en el área requerida (se valora el cuarto nivel). Registrado en SENESCYT.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Experiencia profesional específica mínima requerida.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Experiencia adicional / conocimientos técnicos específicos.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73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Ponderación total</w:t>
            </w:r>
          </w:p>
        </w:tc>
        <w:tc>
          <w:tcPr>
            <w:tcW w:type="dxa" w:w="14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35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color w:val="00249C"/>
          <w:sz w:val="21"/>
          <w:szCs w:val="21"/>
        </w:rPr>
        <w:t xml:space="preserve">b) Oferta técnica — 45 puntos</w:t>
      </w:r>
    </w:p>
    <w:tbl>
      <w:tblPr>
        <w:tblW w:type="dxa" w:w="8700"/>
        <w:tblBorders>
          <w:top w:val="single" w:color="D9DEEA" w:sz="4"/>
          <w:left w:val="single" w:color="D9DEEA" w:sz="4"/>
          <w:bottom w:val="single" w:color="D9DEEA" w:sz="4"/>
          <w:right w:val="single" w:color="D9DEEA" w:sz="4"/>
          <w:insideH w:val="single" w:color="D9DEEA" w:sz="4"/>
          <w:insideV w:val="single" w:color="D9DEEA" w:sz="4"/>
        </w:tblBorders>
      </w:tblPr>
      <w:tblGrid>
        <w:gridCol w:w="7300"/>
        <w:gridCol w:w="1400"/>
      </w:tblGrid>
      <w:tr>
        <w:tc>
          <w:tcPr>
            <w:tcW w:type="dxa" w:w="73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Criterio de evaluación de la oferta técnica</w:t>
            </w:r>
          </w:p>
        </w:tc>
        <w:tc>
          <w:tcPr>
            <w:tcW w:type="dxa" w:w="14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Puntos</w:t>
            </w:r>
          </w:p>
        </w:tc>
      </w:tr>
      <w:tr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Pertinencia y alcance del trabajo en relación con los Términos de Referencia.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Claridad y detalle en los aspectos relevantes del servicio.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73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Ponderación total</w:t>
            </w:r>
          </w:p>
        </w:tc>
        <w:tc>
          <w:tcPr>
            <w:tcW w:type="dxa" w:w="14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45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line="276"/>
        <w:jc w:val="both"/>
      </w:pPr>
      <w:r>
        <w:rPr>
          <w:rFonts w:ascii="Calibri" w:cs="Calibri" w:eastAsia="Calibri" w:hAnsi="Calibri"/>
          <w:b/>
          <w:bCs/>
          <w:color w:val="00249C"/>
          <w:sz w:val="21"/>
          <w:szCs w:val="21"/>
        </w:rPr>
        <w:t xml:space="preserve">c) Oferta económica — 20 puntos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otorgará el máximo puntaje (20 puntos) a la oferta más económica y, de forma inverso-proporcional, a las demás, aplicando la fórmula:</w:t>
      </w:r>
    </w:p>
    <w:p>
      <w:pPr>
        <w:shd w:fill="0B153F" w:val="clear"/>
        <w:spacing w:after="100"/>
        <w:jc w:val="center"/>
      </w:pPr>
      <w:r>
        <w:rPr>
          <w:rFonts w:ascii="Consolas" w:cs="Consolas" w:eastAsia="Consolas" w:hAnsi="Consolas"/>
          <w:b/>
          <w:bCs/>
          <w:color w:val="FFFFFF"/>
          <w:sz w:val="20"/>
          <w:szCs w:val="20"/>
        </w:rPr>
        <w:t xml:space="preserve">Puntaje económico = 20 × (Precio más bajo ÷ Precio del oferente)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Umbral técnico: </w:t>
      </w:r>
      <w:r>
        <w:rPr>
          <w:rFonts w:ascii="Calibri" w:cs="Calibri" w:eastAsia="Calibri" w:hAnsi="Calibri"/>
          <w:sz w:val="21"/>
          <w:szCs w:val="21"/>
        </w:rPr>
        <w:t xml:space="preserve">pasarán a la evaluación de la oferta económica únicamente los oferentes que obtengan un mínimo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75 puntos</w:t>
      </w:r>
      <w:r>
        <w:rPr>
          <w:rFonts w:ascii="Calibri" w:cs="Calibri" w:eastAsia="Calibri" w:hAnsi="Calibri"/>
          <w:sz w:val="21"/>
          <w:szCs w:val="21"/>
        </w:rPr>
        <w:t xml:space="preserve"> (sobre 80) en la evaluación técnica (perfil + oferta técnica).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Puntaje total = puntaje técnico + puntaje económico. </w:t>
      </w:r>
      <w:r>
        <w:rPr>
          <w:rFonts w:ascii="Calibri" w:cs="Calibri" w:eastAsia="Calibri" w:hAnsi="Calibri"/>
          <w:sz w:val="21"/>
          <w:szCs w:val="21"/>
        </w:rPr>
        <w:t xml:space="preserve">Se adjudicará al oferente que obtenga el mayor puntaje total.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Capítulo IV. Apertura y calificación de las propuestas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la fecha del cronograma se abrirán los sobres “1”. La Comisión verificará la documentación y calificará la propuesta técnica según los criterios anteriores; los resultados constarán en acta suscrita por todos sus miembros. Concluida la calificación técnica, se abrirán los sobres “2” (oferta económica) solo de quienes superen el umbral técnico, y se procederá a la evaluación económica y adjudicación. Son subsanables las omisiones aisladas de rúbrica o foliación.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0B153F"/>
          <w:sz w:val="22"/>
          <w:szCs w:val="22"/>
        </w:rPr>
        <w:t xml:space="preserve">4.1 Causas para el rechazo de propuestas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Entregada en lugar distinto al señalado o fuera del plazo previsto.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cumple los requisitos exigidos en las bases o presenta errores sustanciales.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contenido de los formularios difiere sustancialmente del modelo alterando las condiciones del proceso.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Documentos con tachaduras o enmendaduras no salvadas, o el oferente no está activo en el SRI.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Capítulo V. Resolución final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adjudicación constará en acta con el nombre del oferente adjudicado y el costo de su propuesta; el contrato se suscribirá en el término máximo de diez (10) días calendario posteriores a la notificación. Si el adjudicatario no firma, el FIAS podrá adjudicar al siguiente en orden de prelación. El FIAS podrá declarar desierto el proceso por falta de propuestas, por rechazo/descalificación de todas, por reforma sustancial del objeto o por violación del procedimiento.</w:t>
      </w:r>
    </w:p>
    <w:p>
      <w:pPr>
        <w:pageBreakBefore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Cronograma del proceso precontractual</w:t>
      </w:r>
    </w:p>
    <w:tbl>
      <w:tblPr>
        <w:tblW w:type="dxa" w:w="10500"/>
        <w:tblBorders>
          <w:top w:val="single" w:color="D9DEEA" w:sz="4"/>
          <w:left w:val="single" w:color="D9DEEA" w:sz="4"/>
          <w:bottom w:val="single" w:color="D9DEEA" w:sz="4"/>
          <w:right w:val="single" w:color="D9DEEA" w:sz="4"/>
          <w:insideH w:val="single" w:color="D9DEEA" w:sz="4"/>
          <w:insideV w:val="single" w:color="D9DEEA" w:sz="4"/>
        </w:tblBorders>
      </w:tblPr>
      <w:tblGrid>
        <w:gridCol w:w="700"/>
        <w:gridCol w:w="5200"/>
        <w:gridCol w:w="2000"/>
        <w:gridCol w:w="2600"/>
      </w:tblGrid>
      <w:tr>
        <w:tc>
          <w:tcPr>
            <w:tcW w:type="dxa" w:w="7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Nº</w:t>
            </w:r>
          </w:p>
        </w:tc>
        <w:tc>
          <w:tcPr>
            <w:tcW w:type="dxa" w:w="52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Actividad</w:t>
            </w:r>
          </w:p>
        </w:tc>
        <w:tc>
          <w:tcPr>
            <w:tcW w:type="dxa" w:w="20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Fecha límite</w:t>
            </w:r>
          </w:p>
        </w:tc>
        <w:tc>
          <w:tcPr>
            <w:tcW w:type="dxa" w:w="2600"/>
            <w:shd w:fill="EEF1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153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Invitación a proveedores calificados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Comisión de Calificación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Recepción de cartas de interés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Asistente Administrativa FAP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Preguntas, respuestas y aclaraciones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Asistente Administrativa FAP / MAE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Recepción de ofertas (técnica y económica)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Asistente Administrativa FAP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Apertura, análisis y calificación de ofertas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Comisión de Calificación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Adjudicación y notificación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Comisión de Calificación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Suscripción del contrato y garantías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[dd-mm-aaaa]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B153F"/>
                <w:sz w:val="19"/>
                <w:szCs w:val="19"/>
              </w:rPr>
              <w:t xml:space="preserve">Director Ejecutivo FIAS</w:t>
            </w:r>
          </w:p>
        </w:tc>
      </w:tr>
    </w:tbl>
    <w:p>
      <w:pPr>
        <w:pageBreakBefore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0249C"/>
          <w:sz w:val="26"/>
          <w:szCs w:val="26"/>
        </w:rPr>
        <w:t xml:space="preserve">Anexos y formularios</w:t>
      </w:r>
    </w:p>
    <w:p>
      <w:pPr>
        <w:spacing w:after="10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 adjuntan a estas bases los siguientes formularios de uso obligatorio: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1 — Carta de presentación y compromiso.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2 — Identificación del interesado.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3 — Situación financiera y documentos legales (cédula, votación, RUC, certificados SRI/IESS y bancario).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4 — Experiencia general del consultor principal o líder (hoja de vida con respaldos).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5 — Cronograma de ejecución de la consultoría (sin información económica).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Formulario 6 — Oferta económica.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A" w:sz="6" w:space="4"/>
      </w:pBdr>
      <w:tabs>
        <w:tab w:val="right" w:pos="9840"/>
      </w:tabs>
    </w:pPr>
    <w:r>
      <w:rPr>
        <w:rFonts w:ascii="Calibri" w:cs="Calibri" w:eastAsia="Calibri" w:hAnsi="Calibri"/>
        <w:color w:val="6B7180"/>
        <w:sz w:val="15"/>
        <w:szCs w:val="15"/>
      </w:rPr>
      <w:t xml:space="preserve">Bases de concurso — Consultoría (calificación por puntos)</w:t>
    </w:r>
    <w:r>
      <w:rPr>
        <w:rFonts w:ascii="Calibri" w:cs="Calibri" w:eastAsia="Calibri" w:hAnsi="Calibri"/>
        <w:sz w:val="15"/>
        <w:szCs w:val="15"/>
      </w:rPr>
      <w:tab/>
    </w:r>
    <w:r>
      <w:rPr>
        <w:rFonts w:ascii="Calibri" w:cs="Calibri" w:eastAsia="Calibri" w:hAnsi="Calibri"/>
        <w:color w:val="6B7180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Calibri" w:cs="Calibri" w:eastAsia="Calibri" w:hAnsi="Calibri"/>
        <w:b/>
        <w:bCs/>
        <w:color w:val="00249C"/>
        <w:sz w:val="18"/>
        <w:szCs w:val="18"/>
      </w:rPr>
      <w:t xml:space="preserve">FONDO DE INVERSIÓN AMBIENTAL SOSTENIBLE — FIAS</w:t>
    </w:r>
  </w:p>
  <w:p>
    <w:pPr>
      <w:pBdr>
        <w:bottom w:val="single" w:color="00249C" w:sz="12" w:space="4"/>
      </w:pBdr>
      <w:spacing w:after="60"/>
    </w:pPr>
    <w:r>
      <w:rPr>
        <w:rFonts w:ascii="Calibri" w:cs="Calibri" w:eastAsia="Calibri" w:hAnsi="Calibri"/>
        <w:color w:val="6B7180"/>
        <w:sz w:val="16"/>
        <w:szCs w:val="16"/>
      </w:rPr>
      <w:t xml:space="preserve">Programa Fondo de Áreas Protegidas (FAP) · Comisión de Calificación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00249C"/>
      </w:rPr>
    </w:lvl>
    <w:lvl w:ilvl="1" w15:tentative="1">
      <w:start w:val="1"/>
      <w:numFmt w:val="bullet"/>
      <w:lvlText w:val="–"/>
      <w:lvlJc w:val="left"/>
      <w:pPr>
        <w:ind w:left="8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5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Bases — Consultoría (por puntos)</dc:title>
  <dc:creator>FAP · FIAS</dc:creator>
  <cp:lastModifiedBy>Un-named</cp:lastModifiedBy>
  <cp:revision>1</cp:revision>
  <dcterms:created xsi:type="dcterms:W3CDTF">2026-07-21T20:28:40.765Z</dcterms:created>
  <dcterms:modified xsi:type="dcterms:W3CDTF">2026-07-21T20:28:40.765Z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