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00249C"/>
          <w:sz w:val="26"/>
          <w:szCs w:val="26"/>
        </w:rPr>
        <w:t xml:space="preserve">FONDO DE INVERSIÓN AMBIENTAL SOSTENIBLE — FIAS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B7180"/>
          <w:sz w:val="20"/>
          <w:szCs w:val="20"/>
        </w:rPr>
        <w:t xml:space="preserve">PROGRAMA FONDO DE ÁREAS PROTEGIDAS (FAP)</w:t>
      </w:r>
    </w:p>
    <w:p>
      <w:pPr>
        <w:shd w:fill="00249C" w:val="clear"/>
        <w:spacing w:after="60"/>
        <w:jc w:val="center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BASES DE CONCURSO · BIENES / SERVICIOS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“</w:t>
      </w:r>
      <w:r>
        <w:rPr>
          <w:rFonts w:ascii="Calibri" w:cs="Calibri" w:eastAsia="Calibri" w:hAnsi="Calibri"/>
          <w:b/>
          <w:bCs/>
          <w:i/>
          <w:iCs/>
          <w:color w:val="00249C"/>
          <w:sz w:val="21"/>
          <w:szCs w:val="21"/>
        </w:rPr>
        <w:t xml:space="preserve">[OBJETO DE LA CONTRATACIÓN]</w:t>
      </w:r>
      <w:r>
        <w:rPr>
          <w:rFonts w:ascii="Calibri" w:cs="Calibri" w:eastAsia="Calibri" w:hAnsi="Calibri"/>
          <w:sz w:val="21"/>
          <w:szCs w:val="21"/>
        </w:rPr>
        <w:t xml:space="preserve">”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6B7180"/>
          <w:sz w:val="21"/>
          <w:szCs w:val="21"/>
        </w:rPr>
        <w:t xml:space="preserve">Código del proceso: </w:t>
      </w:r>
      <w:r>
        <w:rPr>
          <w:rFonts w:ascii="Calibri" w:cs="Calibri" w:eastAsia="Calibri" w:hAnsi="Calibri"/>
          <w:b/>
          <w:bCs/>
          <w:i/>
          <w:iCs/>
          <w:color w:val="00249C"/>
          <w:sz w:val="21"/>
          <w:szCs w:val="21"/>
        </w:rPr>
        <w:t xml:space="preserve">[FIAS-FAP-AAAA-NN]</w:t>
      </w:r>
    </w:p>
    <w:p>
      <w:pPr>
        <w:pBdr>
          <w:left w:val="single" w:color="00249C" w:sz="18" w:space="8"/>
        </w:pBdr>
        <w:shd w:fill="EEF1FB" w:val="clear"/>
        <w:spacing w:after="120" w:before="60" w:line="264"/>
        <w:ind w:left="120" w:right="120"/>
      </w:pPr>
      <w:r>
        <w:rPr>
          <w:rFonts w:ascii="Calibri" w:cs="Calibri" w:eastAsia="Calibri" w:hAnsi="Calibri"/>
          <w:b/>
          <w:bCs/>
          <w:color w:val="00249C"/>
          <w:sz w:val="18"/>
          <w:szCs w:val="18"/>
        </w:rPr>
        <w:t xml:space="preserve">Instrucción de llenado: </w:t>
      </w:r>
      <w:r>
        <w:rPr>
          <w:rFonts w:ascii="Calibri" w:cs="Calibri" w:eastAsia="Calibri" w:hAnsi="Calibri"/>
          <w:i/>
          <w:iCs/>
          <w:color w:val="0B153F"/>
          <w:sz w:val="18"/>
          <w:szCs w:val="18"/>
        </w:rPr>
        <w:t xml:space="preserve">Plantilla estándar del FAP/FIAS para adquisición de bienes o servicios por concurso de ofertas con postcalificación. Los requisitos legales y técnicos se evalúan CUMPLE / NO CUMPLE (habilitantes) y se adjudica al menor precio entre quienes cumplen. Reemplace los campos entre [CORCHETES] y ajuste las especificaciones técnicas.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0249C"/>
          <w:sz w:val="26"/>
          <w:szCs w:val="26"/>
        </w:rPr>
        <w:t xml:space="preserve">Sección I. Invitación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Se convoca a personas naturales o jurídicas nacionales, legalmente capaces para contratar, a presentar su oferta para la: “</w:t>
      </w:r>
      <w:r>
        <w:rPr>
          <w:rFonts w:ascii="Calibri" w:cs="Calibri" w:eastAsia="Calibri" w:hAnsi="Calibri"/>
          <w:b/>
          <w:bCs/>
          <w:i/>
          <w:iCs/>
          <w:color w:val="00249C"/>
          <w:sz w:val="21"/>
          <w:szCs w:val="21"/>
        </w:rPr>
        <w:t xml:space="preserve">[OBJETO]</w:t>
      </w:r>
      <w:r>
        <w:rPr>
          <w:rFonts w:ascii="Calibri" w:cs="Calibri" w:eastAsia="Calibri" w:hAnsi="Calibri"/>
          <w:sz w:val="21"/>
          <w:szCs w:val="21"/>
        </w:rPr>
        <w:t xml:space="preserve">”. Presupuesto referencial: </w:t>
      </w:r>
      <w:r>
        <w:rPr>
          <w:rFonts w:ascii="Calibri" w:cs="Calibri" w:eastAsia="Calibri" w:hAnsi="Calibri"/>
          <w:b/>
          <w:bCs/>
          <w:i/>
          <w:iCs/>
          <w:color w:val="00249C"/>
          <w:sz w:val="21"/>
          <w:szCs w:val="21"/>
        </w:rPr>
        <w:t xml:space="preserve">[USD 00.000,00]</w:t>
      </w:r>
      <w:r>
        <w:rPr>
          <w:rFonts w:ascii="Calibri" w:cs="Calibri" w:eastAsia="Calibri" w:hAnsi="Calibri"/>
          <w:sz w:val="21"/>
          <w:szCs w:val="21"/>
        </w:rPr>
        <w:t xml:space="preserve"> incluidos impuestos. Plazo de ejecución/entrega máximo: </w:t>
      </w:r>
      <w:r>
        <w:rPr>
          <w:rFonts w:ascii="Calibri" w:cs="Calibri" w:eastAsia="Calibri" w:hAnsi="Calibri"/>
          <w:b/>
          <w:bCs/>
          <w:i/>
          <w:iCs/>
          <w:color w:val="00249C"/>
          <w:sz w:val="21"/>
          <w:szCs w:val="21"/>
        </w:rPr>
        <w:t xml:space="preserve">[NN]</w:t>
      </w:r>
      <w:r>
        <w:rPr>
          <w:rFonts w:ascii="Calibri" w:cs="Calibri" w:eastAsia="Calibri" w:hAnsi="Calibri"/>
          <w:sz w:val="21"/>
          <w:szCs w:val="21"/>
        </w:rPr>
        <w:t xml:space="preserve"> días desde la adjudicación. Las ofertas se recibirán hasta las </w:t>
      </w:r>
      <w:r>
        <w:rPr>
          <w:rFonts w:ascii="Calibri" w:cs="Calibri" w:eastAsia="Calibri" w:hAnsi="Calibri"/>
          <w:b/>
          <w:bCs/>
          <w:i/>
          <w:iCs/>
          <w:color w:val="00249C"/>
          <w:sz w:val="21"/>
          <w:szCs w:val="21"/>
        </w:rPr>
        <w:t xml:space="preserve">[hh:mm]</w:t>
      </w:r>
      <w:r>
        <w:rPr>
          <w:rFonts w:ascii="Calibri" w:cs="Calibri" w:eastAsia="Calibri" w:hAnsi="Calibri"/>
          <w:sz w:val="21"/>
          <w:szCs w:val="21"/>
        </w:rPr>
        <w:t xml:space="preserve"> del </w:t>
      </w:r>
      <w:r>
        <w:rPr>
          <w:rFonts w:ascii="Calibri" w:cs="Calibri" w:eastAsia="Calibri" w:hAnsi="Calibri"/>
          <w:b/>
          <w:bCs/>
          <w:i/>
          <w:iCs/>
          <w:color w:val="00249C"/>
          <w:sz w:val="21"/>
          <w:szCs w:val="21"/>
        </w:rPr>
        <w:t xml:space="preserve">[dd-mm-aaaa]</w:t>
      </w:r>
      <w:r>
        <w:rPr>
          <w:rFonts w:ascii="Calibri" w:cs="Calibri" w:eastAsia="Calibri" w:hAnsi="Calibri"/>
          <w:sz w:val="21"/>
          <w:szCs w:val="21"/>
        </w:rPr>
        <w:t xml:space="preserve"> en los correos </w:t>
      </w:r>
      <w:r>
        <w:rPr>
          <w:rFonts w:ascii="Calibri" w:cs="Calibri" w:eastAsia="Calibri" w:hAnsi="Calibri"/>
          <w:b/>
          <w:bCs/>
          <w:i/>
          <w:iCs/>
          <w:color w:val="00249C"/>
          <w:sz w:val="21"/>
          <w:szCs w:val="21"/>
        </w:rPr>
        <w:t xml:space="preserve">[correo1@fias.org.ec]</w:t>
      </w:r>
      <w:r>
        <w:rPr>
          <w:rFonts w:ascii="Calibri" w:cs="Calibri" w:eastAsia="Calibri" w:hAnsi="Calibri"/>
          <w:sz w:val="21"/>
          <w:szCs w:val="21"/>
        </w:rPr>
        <w:t xml:space="preserve"> y </w:t>
      </w:r>
      <w:r>
        <w:rPr>
          <w:rFonts w:ascii="Calibri" w:cs="Calibri" w:eastAsia="Calibri" w:hAnsi="Calibri"/>
          <w:b/>
          <w:bCs/>
          <w:i/>
          <w:iCs/>
          <w:color w:val="00249C"/>
          <w:sz w:val="21"/>
          <w:szCs w:val="21"/>
        </w:rPr>
        <w:t xml:space="preserve">[correo2@fias.org.ec]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0249C"/>
          <w:sz w:val="26"/>
          <w:szCs w:val="26"/>
        </w:rPr>
        <w:t xml:space="preserve">Sección II. Objeto de la adquisición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Este proceso tiene por objeto la evaluación, selección y adjudicación de la: “</w:t>
      </w:r>
      <w:r>
        <w:rPr>
          <w:rFonts w:ascii="Calibri" w:cs="Calibri" w:eastAsia="Calibri" w:hAnsi="Calibri"/>
          <w:b/>
          <w:bCs/>
          <w:i/>
          <w:iCs/>
          <w:color w:val="00249C"/>
          <w:sz w:val="21"/>
          <w:szCs w:val="21"/>
        </w:rPr>
        <w:t xml:space="preserve">[OBJETO]</w:t>
      </w:r>
      <w:r>
        <w:rPr>
          <w:rFonts w:ascii="Calibri" w:cs="Calibri" w:eastAsia="Calibri" w:hAnsi="Calibri"/>
          <w:sz w:val="21"/>
          <w:szCs w:val="21"/>
        </w:rPr>
        <w:t xml:space="preserve">”.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0249C"/>
          <w:sz w:val="26"/>
          <w:szCs w:val="26"/>
        </w:rPr>
        <w:t xml:space="preserve">Sección III. Condiciones generales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Comisión de Calificación y Adquisición: evalúa, califica y selecciona a los oferentes y sus propuestas. Si ninguna cumple, se declara desierto el proceso.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Documentos legales: se evalúan Cumple / No cumple; sin la totalidad de documentos legales no se revisa la oferta técnica.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Inhabilidades: quedan excluidos los oferentes en las causales de la normativa (oferta tardía, influencia indebida, vínculo con funcionarios MAE/FIAS, deudores morosos del Estado).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Modelos obligatorios: la oferta se presenta con los formularios de estas bases; documentos sin tachaduras ni enmendaduras.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Garantías: técnica (mínimo 1 año), fiel cumplimiento (5% del contrato) y buen uso del anticipo (100% del anticipo), según corresponda.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Moneda: dólares de los Estados Unidos de América.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0249C"/>
          <w:sz w:val="26"/>
          <w:szCs w:val="26"/>
        </w:rPr>
        <w:t xml:space="preserve">Sección IV. Condiciones específicas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B153F"/>
          <w:sz w:val="22"/>
          <w:szCs w:val="22"/>
        </w:rPr>
        <w:t xml:space="preserve">4.1 Entrega de ofertas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 oferta contendrá: (1) Documentos de calificación (Formulario 1 — Documentos legales); (2) Oferta técnica (Formulario 2 — ficha/catálogo, garantía técnica y tiempo de entrega); (3) Oferta económica (Formulario 3), con el IVA desglosado.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B153F"/>
          <w:sz w:val="22"/>
          <w:szCs w:val="22"/>
        </w:rPr>
        <w:t xml:space="preserve">4.2 Forma de pago</w:t>
      </w:r>
    </w:p>
    <w:tbl>
      <w:tblPr>
        <w:tblW w:type="dxa" w:w="8800"/>
        <w:tblBorders>
          <w:top w:val="single" w:color="D9DEEA" w:sz="4"/>
          <w:left w:val="single" w:color="D9DEEA" w:sz="4"/>
          <w:bottom w:val="single" w:color="D9DEEA" w:sz="4"/>
          <w:right w:val="single" w:color="D9DEEA" w:sz="4"/>
          <w:insideH w:val="single" w:color="D9DEEA" w:sz="4"/>
          <w:insideV w:val="single" w:color="D9DEEA" w:sz="4"/>
        </w:tblBorders>
      </w:tblPr>
      <w:tblGrid>
        <w:gridCol w:w="1600"/>
        <w:gridCol w:w="6000"/>
        <w:gridCol w:w="1200"/>
      </w:tblGrid>
      <w:tr>
        <w:tc>
          <w:tcPr>
            <w:tcW w:type="dxa" w:w="1600"/>
            <w:shd w:fill="EEF1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53F"/>
                <w:sz w:val="19"/>
                <w:szCs w:val="19"/>
              </w:rPr>
              <w:t xml:space="preserve">Nº</w:t>
            </w:r>
          </w:p>
        </w:tc>
        <w:tc>
          <w:tcPr>
            <w:tcW w:type="dxa" w:w="6000"/>
            <w:shd w:fill="EEF1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53F"/>
                <w:sz w:val="19"/>
                <w:szCs w:val="19"/>
              </w:rPr>
              <w:t xml:space="preserve">Requisito</w:t>
            </w:r>
          </w:p>
        </w:tc>
        <w:tc>
          <w:tcPr>
            <w:tcW w:type="dxa" w:w="1200"/>
            <w:shd w:fill="EEF1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53F"/>
                <w:sz w:val="19"/>
                <w:szCs w:val="19"/>
              </w:rPr>
              <w:t xml:space="preserve">%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1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A la firma del instrumento jurídico y garantía de buen uso del anticipo.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[30%]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2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Contra entrega del bien/servicio, acta de entrega-recepción, garantía técnica y factura.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[70%]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0249C"/>
          <w:sz w:val="26"/>
          <w:szCs w:val="26"/>
        </w:rPr>
        <w:t xml:space="preserve">Sección V. Especificaciones técnicas y criterios de calificación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B153F"/>
          <w:sz w:val="22"/>
          <w:szCs w:val="22"/>
        </w:rPr>
        <w:t xml:space="preserve">5.1 Especificaciones técnicas del bien/servicio</w:t>
      </w:r>
    </w:p>
    <w:p>
      <w:pPr>
        <w:pBdr>
          <w:left w:val="single" w:color="00249C" w:sz="18" w:space="8"/>
        </w:pBdr>
        <w:shd w:fill="EEF1FB" w:val="clear"/>
        <w:spacing w:after="120" w:before="60" w:line="264"/>
        <w:ind w:left="120" w:right="120"/>
      </w:pPr>
      <w:r>
        <w:rPr>
          <w:rFonts w:ascii="Calibri" w:cs="Calibri" w:eastAsia="Calibri" w:hAnsi="Calibri"/>
          <w:b/>
          <w:bCs/>
          <w:color w:val="00249C"/>
          <w:sz w:val="18"/>
          <w:szCs w:val="18"/>
        </w:rPr>
        <w:t xml:space="preserve">Instrucción de llenado: </w:t>
      </w:r>
      <w:r>
        <w:rPr>
          <w:rFonts w:ascii="Calibri" w:cs="Calibri" w:eastAsia="Calibri" w:hAnsi="Calibri"/>
          <w:i/>
          <w:iCs/>
          <w:color w:val="0B153F"/>
          <w:sz w:val="18"/>
          <w:szCs w:val="18"/>
        </w:rPr>
        <w:t xml:space="preserve">Detalle aquí todas las características mínimas requeridas. Son de cumplimiento obligatorio; no limitan ofertar una tecnología superior.</w:t>
      </w:r>
    </w:p>
    <w:tbl>
      <w:tblPr>
        <w:tblW w:type="dxa" w:w="8800"/>
        <w:tblBorders>
          <w:top w:val="single" w:color="D9DEEA" w:sz="4"/>
          <w:left w:val="single" w:color="D9DEEA" w:sz="4"/>
          <w:bottom w:val="single" w:color="D9DEEA" w:sz="4"/>
          <w:right w:val="single" w:color="D9DEEA" w:sz="4"/>
          <w:insideH w:val="single" w:color="D9DEEA" w:sz="4"/>
          <w:insideV w:val="single" w:color="D9DEEA" w:sz="4"/>
        </w:tblBorders>
      </w:tblPr>
      <w:tblGrid>
        <w:gridCol w:w="4200"/>
        <w:gridCol w:w="4600"/>
      </w:tblGrid>
      <w:tr>
        <w:tc>
          <w:tcPr>
            <w:tcW w:type="dxa" w:w="4200"/>
            <w:shd w:fill="EEF1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53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4600"/>
            <w:shd w:fill="EEF1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53F"/>
                <w:sz w:val="19"/>
                <w:szCs w:val="19"/>
              </w:rPr>
              <w:t xml:space="preserve">Característica requerida (mínima)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[Característica 1]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[Requisito]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[Característica 2]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[Requisito]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[Característica 3]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[Requisito]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Garantía técnica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[Mínimo 1 año por defectos de fábrica]</w:t>
            </w:r>
          </w:p>
        </w:tc>
      </w:tr>
    </w:tbl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B153F"/>
          <w:sz w:val="22"/>
          <w:szCs w:val="22"/>
        </w:rPr>
        <w:t xml:space="preserve">5.2 Criterios de calificación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Los requisitos legales y técnicos se evalúan bajo la modalidad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CUMPLE / NO CUMPLE</w:t>
      </w:r>
      <w:r>
        <w:rPr>
          <w:rFonts w:ascii="Calibri" w:cs="Calibri" w:eastAsia="Calibri" w:hAnsi="Calibri"/>
          <w:sz w:val="21"/>
          <w:szCs w:val="21"/>
        </w:rPr>
        <w:t xml:space="preserve"> y tienen carácter habilitante:</w:t>
      </w:r>
    </w:p>
    <w:p>
      <w:pPr>
        <w:spacing w:after="40" w:line="276"/>
        <w:jc w:val="both"/>
      </w:pPr>
      <w:r>
        <w:rPr>
          <w:rFonts w:ascii="Calibri" w:cs="Calibri" w:eastAsia="Calibri" w:hAnsi="Calibri"/>
          <w:b/>
          <w:bCs/>
          <w:color w:val="00249C"/>
          <w:sz w:val="21"/>
          <w:szCs w:val="21"/>
        </w:rPr>
        <w:t xml:space="preserve">Requisitos legales</w:t>
      </w:r>
    </w:p>
    <w:tbl>
      <w:tblPr>
        <w:tblW w:type="dxa" w:w="8800"/>
        <w:tblBorders>
          <w:top w:val="single" w:color="D9DEEA" w:sz="4"/>
          <w:left w:val="single" w:color="D9DEEA" w:sz="4"/>
          <w:bottom w:val="single" w:color="D9DEEA" w:sz="4"/>
          <w:right w:val="single" w:color="D9DEEA" w:sz="4"/>
          <w:insideH w:val="single" w:color="D9DEEA" w:sz="4"/>
          <w:insideV w:val="single" w:color="D9DEEA" w:sz="4"/>
        </w:tblBorders>
      </w:tblPr>
      <w:tblGrid>
        <w:gridCol w:w="8000"/>
        <w:gridCol w:w="800"/>
      </w:tblGrid>
      <w:tr>
        <w:tc>
          <w:tcPr>
            <w:tcW w:type="dxa" w:w="8000"/>
            <w:shd w:fill="EEF1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53F"/>
                <w:sz w:val="19"/>
                <w:szCs w:val="19"/>
              </w:rPr>
              <w:t xml:space="preserve">Requisito</w:t>
            </w:r>
          </w:p>
        </w:tc>
        <w:tc>
          <w:tcPr>
            <w:tcW w:type="dxa" w:w="800"/>
            <w:shd w:fill="EEF1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53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Nombramiento / documento del representante legal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C / NC</w:t>
            </w:r>
          </w:p>
        </w:tc>
      </w:tr>
      <w:tr>
        <w:tc>
          <w:tcPr>
            <w:tcW w:type="dxa" w:w="8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Copia de identificación del representante legal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C / NC</w:t>
            </w:r>
          </w:p>
        </w:tc>
      </w:tr>
      <w:tr>
        <w:tc>
          <w:tcPr>
            <w:tcW w:type="dxa" w:w="8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Copia de papeleta de votación vigente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C / NC</w:t>
            </w:r>
          </w:p>
        </w:tc>
      </w:tr>
      <w:tr>
        <w:tc>
          <w:tcPr>
            <w:tcW w:type="dxa" w:w="8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Copia del RUC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C / NC</w:t>
            </w:r>
          </w:p>
        </w:tc>
      </w:tr>
      <w:tr>
        <w:tc>
          <w:tcPr>
            <w:tcW w:type="dxa" w:w="8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Certificado del SRI — obligaciones tributarias al día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C / NC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line="276"/>
        <w:jc w:val="both"/>
      </w:pPr>
      <w:r>
        <w:rPr>
          <w:rFonts w:ascii="Calibri" w:cs="Calibri" w:eastAsia="Calibri" w:hAnsi="Calibri"/>
          <w:b/>
          <w:bCs/>
          <w:color w:val="00249C"/>
          <w:sz w:val="21"/>
          <w:szCs w:val="21"/>
        </w:rPr>
        <w:t xml:space="preserve">Requisitos técnicos</w:t>
      </w:r>
    </w:p>
    <w:tbl>
      <w:tblPr>
        <w:tblW w:type="dxa" w:w="8800"/>
        <w:tblBorders>
          <w:top w:val="single" w:color="D9DEEA" w:sz="4"/>
          <w:left w:val="single" w:color="D9DEEA" w:sz="4"/>
          <w:bottom w:val="single" w:color="D9DEEA" w:sz="4"/>
          <w:right w:val="single" w:color="D9DEEA" w:sz="4"/>
          <w:insideH w:val="single" w:color="D9DEEA" w:sz="4"/>
          <w:insideV w:val="single" w:color="D9DEEA" w:sz="4"/>
        </w:tblBorders>
      </w:tblPr>
      <w:tblGrid>
        <w:gridCol w:w="8000"/>
        <w:gridCol w:w="800"/>
      </w:tblGrid>
      <w:tr>
        <w:tc>
          <w:tcPr>
            <w:tcW w:type="dxa" w:w="8000"/>
            <w:shd w:fill="EEF1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53F"/>
                <w:sz w:val="19"/>
                <w:szCs w:val="19"/>
              </w:rPr>
              <w:t xml:space="preserve">Parámetro de evaluación</w:t>
            </w:r>
          </w:p>
        </w:tc>
        <w:tc>
          <w:tcPr>
            <w:tcW w:type="dxa" w:w="800"/>
            <w:shd w:fill="EEF1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53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8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Cumplimiento de especificaciones técnicas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C / NC</w:t>
            </w:r>
          </w:p>
        </w:tc>
      </w:tr>
      <w:tr>
        <w:tc>
          <w:tcPr>
            <w:tcW w:type="dxa" w:w="8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Tiempo de entrega del bien/servicio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C / NC</w:t>
            </w:r>
          </w:p>
        </w:tc>
      </w:tr>
      <w:tr>
        <w:tc>
          <w:tcPr>
            <w:tcW w:type="dxa" w:w="8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Tipo y plazos de garantía técnica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C / NC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Bdr>
          <w:left w:val="single" w:color="00249C" w:sz="18" w:space="8"/>
        </w:pBdr>
        <w:shd w:fill="EEF1FB" w:val="clear"/>
        <w:spacing w:after="120" w:before="60" w:line="264"/>
        <w:ind w:left="120" w:right="120"/>
      </w:pPr>
      <w:r>
        <w:rPr>
          <w:rFonts w:ascii="Calibri" w:cs="Calibri" w:eastAsia="Calibri" w:hAnsi="Calibri"/>
          <w:b/>
          <w:bCs/>
          <w:color w:val="00249C"/>
          <w:sz w:val="18"/>
          <w:szCs w:val="18"/>
        </w:rPr>
        <w:t xml:space="preserve">Instrucción de llenado: </w:t>
      </w:r>
      <w:r>
        <w:rPr>
          <w:rFonts w:ascii="Calibri" w:cs="Calibri" w:eastAsia="Calibri" w:hAnsi="Calibri"/>
          <w:i/>
          <w:iCs/>
          <w:color w:val="0B153F"/>
          <w:sz w:val="18"/>
          <w:szCs w:val="18"/>
        </w:rPr>
        <w:t xml:space="preserve">El oferente que no cumpla la totalidad de los requisitos legales no continúa a la evaluación técnica; el que no cumpla la totalidad de los requisitos técnicos queda descalificado y su oferta económica no se abre ni se considera.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Adjudicación: </w:t>
      </w:r>
      <w:r>
        <w:rPr>
          <w:rFonts w:ascii="Calibri" w:cs="Calibri" w:eastAsia="Calibri" w:hAnsi="Calibri"/>
          <w:sz w:val="21"/>
          <w:szCs w:val="21"/>
        </w:rPr>
        <w:t xml:space="preserve">entre los oferentes que cumplan la totalidad de los requisitos legales y técnicos, se adjudica al de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MENOR PRECIO</w:t>
      </w:r>
      <w:r>
        <w:rPr>
          <w:rFonts w:ascii="Calibri" w:cs="Calibri" w:eastAsia="Calibri" w:hAnsi="Calibri"/>
          <w:sz w:val="21"/>
          <w:szCs w:val="21"/>
        </w:rPr>
        <w:t xml:space="preserve">. La misma evaluación puede realizarse y documentarse en el “Calificador de Ofertas” del FAP, que genera el acta de calificación.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B153F"/>
          <w:sz w:val="22"/>
          <w:szCs w:val="22"/>
        </w:rPr>
        <w:t xml:space="preserve">5.3 Multas y acta de entrega-recepción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Por cada día de retardo el proveedor pagará el uno por mil (1×1000) del valor de las obligaciones pendientes; si las multas superan el 5% del monto total, el FIAS podrá terminar anticipada y unilateralmente. El acta de entrega-recepción se suscribirá a satisfacción de la entidad contratante.</w:t>
      </w:r>
    </w:p>
    <w:p>
      <w:pPr>
        <w:pageBreakBefore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0249C"/>
          <w:sz w:val="26"/>
          <w:szCs w:val="26"/>
        </w:rPr>
        <w:t xml:space="preserve">Cronograma del proceso</w:t>
      </w:r>
    </w:p>
    <w:tbl>
      <w:tblPr>
        <w:tblW w:type="dxa" w:w="8800"/>
        <w:tblBorders>
          <w:top w:val="single" w:color="D9DEEA" w:sz="4"/>
          <w:left w:val="single" w:color="D9DEEA" w:sz="4"/>
          <w:bottom w:val="single" w:color="D9DEEA" w:sz="4"/>
          <w:right w:val="single" w:color="D9DEEA" w:sz="4"/>
          <w:insideH w:val="single" w:color="D9DEEA" w:sz="4"/>
          <w:insideV w:val="single" w:color="D9DEEA" w:sz="4"/>
        </w:tblBorders>
      </w:tblPr>
      <w:tblGrid>
        <w:gridCol w:w="5600"/>
        <w:gridCol w:w="3200"/>
      </w:tblGrid>
      <w:tr>
        <w:tc>
          <w:tcPr>
            <w:tcW w:type="dxa" w:w="5600"/>
            <w:shd w:fill="EEF1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53F"/>
                <w:sz w:val="19"/>
                <w:szCs w:val="19"/>
              </w:rPr>
              <w:t xml:space="preserve">Detalle</w:t>
            </w:r>
          </w:p>
        </w:tc>
        <w:tc>
          <w:tcPr>
            <w:tcW w:type="dxa" w:w="3200"/>
            <w:shd w:fill="EEF1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53F"/>
                <w:sz w:val="19"/>
                <w:szCs w:val="19"/>
              </w:rPr>
              <w:t xml:space="preserve">Fecha</w:t>
            </w:r>
          </w:p>
        </w:tc>
      </w:tr>
      <w:tr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Fecha de invitación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[dd-mm-aaaa]</w:t>
            </w:r>
          </w:p>
        </w:tc>
      </w:tr>
      <w:tr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Fecha límite de preguntas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[dd-mm-aaaa]</w:t>
            </w:r>
          </w:p>
        </w:tc>
      </w:tr>
      <w:tr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Fecha límite de respuestas y aclaraciones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[dd-mm-aaaa]</w:t>
            </w:r>
          </w:p>
        </w:tc>
      </w:tr>
      <w:tr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Recepción de ofertas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[dd-mm-aaaa · hh:mm]</w:t>
            </w:r>
          </w:p>
        </w:tc>
      </w:tr>
      <w:tr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Calificación de oferentes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[dd-mm-aaaa]</w:t>
            </w:r>
          </w:p>
        </w:tc>
      </w:tr>
      <w:tr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Adjudicación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[dd-mm-aaaa]</w:t>
            </w:r>
          </w:p>
        </w:tc>
      </w:tr>
    </w:tbl>
    <w:p>
      <w:pPr>
        <w:pageBreakBefore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0249C"/>
          <w:sz w:val="26"/>
          <w:szCs w:val="26"/>
        </w:rPr>
        <w:t xml:space="preserve">Formularios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Formulario 1 — Documentos legales.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Formulario 2 — Oferta técnica (ficha/catálogo, garantía y tiempo de entrega).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Formulario 3 — Modelo de oferta económica (con IVA desglosado).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EA" w:sz="6" w:space="4"/>
      </w:pBdr>
      <w:tabs>
        <w:tab w:val="right" w:pos="9840"/>
      </w:tabs>
    </w:pPr>
    <w:r>
      <w:rPr>
        <w:rFonts w:ascii="Calibri" w:cs="Calibri" w:eastAsia="Calibri" w:hAnsi="Calibri"/>
        <w:color w:val="6B7180"/>
        <w:sz w:val="15"/>
        <w:szCs w:val="15"/>
      </w:rPr>
      <w:t xml:space="preserve">Bases de concurso — Bienes/Servicios (Cumple/No cumple)</w:t>
    </w:r>
    <w:r>
      <w:rPr>
        <w:rFonts w:ascii="Calibri" w:cs="Calibri" w:eastAsia="Calibri" w:hAnsi="Calibri"/>
        <w:sz w:val="15"/>
        <w:szCs w:val="15"/>
      </w:rPr>
      <w:tab/>
    </w:r>
    <w:r>
      <w:rPr>
        <w:rFonts w:ascii="Calibri" w:cs="Calibri" w:eastAsia="Calibri" w:hAnsi="Calibri"/>
        <w:color w:val="6B7180"/>
        <w:sz w:val="15"/>
        <w:szCs w:val="15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Calibri" w:cs="Calibri" w:eastAsia="Calibri" w:hAnsi="Calibri"/>
        <w:b/>
        <w:bCs/>
        <w:color w:val="00249C"/>
        <w:sz w:val="18"/>
        <w:szCs w:val="18"/>
      </w:rPr>
      <w:t xml:space="preserve">FONDO DE INVERSIÓN AMBIENTAL SOSTENIBLE — FIAS</w:t>
    </w:r>
  </w:p>
  <w:p>
    <w:pPr>
      <w:pBdr>
        <w:bottom w:val="single" w:color="00249C" w:sz="12" w:space="4"/>
      </w:pBdr>
      <w:spacing w:after="60"/>
    </w:pPr>
    <w:r>
      <w:rPr>
        <w:rFonts w:ascii="Calibri" w:cs="Calibri" w:eastAsia="Calibri" w:hAnsi="Calibri"/>
        <w:color w:val="6B7180"/>
        <w:sz w:val="16"/>
        <w:szCs w:val="16"/>
      </w:rPr>
      <w:t xml:space="preserve">Programa Fondo de Áreas Protegidas (FAP) · Comisión de Calificación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  <w:rPr>
        <w:color w:val="00249C"/>
      </w:rPr>
    </w:lvl>
    <w:lvl w:ilvl="1" w15:tentative="1">
      <w:start w:val="1"/>
      <w:numFmt w:val="bullet"/>
      <w:lvlText w:val="–"/>
      <w:lvlJc w:val="left"/>
      <w:pPr>
        <w:ind w:left="8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153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Bases — Bienes/Servicios (Cumple/No cumple)</dc:title>
  <dc:creator>FAP · FIAS</dc:creator>
  <cp:lastModifiedBy>Un-named</cp:lastModifiedBy>
  <cp:revision>1</cp:revision>
  <dcterms:created xsi:type="dcterms:W3CDTF">2026-07-21T20:28:40.832Z</dcterms:created>
  <dcterms:modified xsi:type="dcterms:W3CDTF">2026-07-21T20:28:40.832Z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