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6200"/>
        <w:gridCol w:w="2140"/>
      </w:tblGrid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249C"/>
                <w:sz w:val="26"/>
                <w:szCs w:val="26"/>
              </w:rPr>
              <w:t xml:space="preserve">FAP</w:t>
            </w:r>
          </w:p>
        </w:tc>
        <w:tc>
          <w:tcPr>
            <w:tcW w:type="dxa" w:w="6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sz w:val="19"/>
                  <w:szCs w:val="19"/>
                </w:rPr>
                <w:t xml:space="preserve">FONDO DE INVERSIÓN AMBIENTAL SOSTENIBLE</w:t>
              </w:r>
            </w:p>
            <w:p>
              <w:pPr>
                <w:jc w:val="center"/>
              </w:pPr>
              <w:r>
                <w:rPr>
                  <w:rFonts w:ascii="Calibri" w:cs="Calibri" w:eastAsia="Calibri" w:hAnsi="Calibri"/>
                  <w:color w:val="6B7180"/>
                  <w:sz w:val="16"/>
                  <w:szCs w:val="16"/>
                </w:rPr>
                <w:t xml:space="preserve">Programa FAP — COMISIÓN DE CALIFICACIÓN DE OFERTAS</w:t>
              </w:r>
            </w:p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sz w:val="19"/>
                  <w:szCs w:val="19"/>
                </w:rPr>
                <w:t xml:space="preserve">ACTA DE APERTURA DE SOBRES</w:t>
              </w:r>
            </w:p>
            <w:p>
              <w:pPr>
                <w:jc w:val="center"/>
              </w:pPr>
              <w:r>
                <w:rPr>
                  <w:rFonts w:ascii="Calibri" w:cs="Calibri" w:eastAsia="Calibri" w:hAnsi="Calibri"/>
                  <w:i/>
                  <w:iCs/>
                  <w:sz w:val="16"/>
                  <w:szCs w:val="16"/>
                </w:rPr>
                <w:t xml:space="preserve">“{objeto}”</w:t>
              </w:r>
            </w:p>
          </w:p>
        </w:tc>
        <w:tc>
          <w:tcPr>
            <w:tcW w:type="dxa" w:w="2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p>
              <w:r>
                <w:rPr>
                  <w:rFonts w:ascii="Calibri" w:cs="Calibri" w:eastAsia="Calibri" w:hAnsi="Calibri"/>
                  <w:sz w:val="16"/>
                  <w:szCs w:val="16"/>
                </w:rPr>
                <w:t xml:space="preserve">Código: FO-AD-ABC-009</w:t>
              </w:r>
            </w:p>
            <w:p>
              <w:r>
                <w:rPr>
                  <w:rFonts w:ascii="Calibri" w:cs="Calibri" w:eastAsia="Calibri" w:hAnsi="Calibri"/>
                  <w:sz w:val="16"/>
                  <w:szCs w:val="16"/>
                </w:rPr>
                <w:t xml:space="preserve">Proceso: {codigoProc}</w:t>
              </w:r>
            </w:p>
            <w:p>
              <w:r>
                <w:rPr>
                  <w:rFonts w:ascii="Calibri" w:cs="Calibri" w:eastAsia="Calibri" w:hAnsi="Calibri"/>
                  <w:sz w:val="16"/>
                  <w:szCs w:val="16"/>
                </w:rPr>
                <w:t xml:space="preserve">Versión: 01</w:t>
              </w:r>
            </w:p>
          </w:p>
        </w:tc>
      </w:tr>
    </w:tbl>
    <w:p>
      <w:pPr>
        <w:spacing w:after="120" w:before="12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ACTA N.º {actaNo}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Datos del proceso</w:t>
      </w:r>
    </w:p>
    <w:tbl>
      <w:tblPr>
        <w:tblW w:type="dxa" w:w="95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6140"/>
      </w:tblGrid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Objeto de la contratación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{objeto}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Área protegida / instancia beneficiaria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{area}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Modalidad de selección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{modalidad}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Presupuesto referencial (USD)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{presupuestoLetras}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 de financiamiento / PAG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{fuente}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 de invitación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{fechaInvitacion}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Plazo para presentación de ofertas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{fechaLimite}</w:t>
            </w:r>
          </w:p>
        </w:tc>
      </w:tr>
    </w:tbl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Inicio de sesión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El día {fechaAdj}, a las {horaSesion} horas, en {lugarSesion}, se reúnen los miembros de la Comisión de Calificación, convocados por su Presidencia a través de Secretaría, para tratar el proceso de referencia.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Constatación de quórum — Miembros con voz y voto</w:t>
      </w:r>
    </w:p>
    <w:tbl>
      <w:tblPr>
        <w:tblW w:type="dxa" w:w="95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3400"/>
        <w:gridCol w:w="2200"/>
        <w:gridCol w:w="940"/>
      </w:tblGrid>
      <w:tr>
        <w:tc>
          <w:tcPr>
            <w:tcW w:type="dxa" w:w="3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Cargo institucional</w:t>
            </w:r>
          </w:p>
        </w:tc>
        <w:tc>
          <w:tcPr>
            <w:tcW w:type="dxa" w:w="2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 en la Comisión</w:t>
            </w:r>
          </w:p>
        </w:tc>
        <w:tc>
          <w:tcPr>
            <w:tcW w:type="dxa" w:w="9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Asistencia</w:t>
            </w:r>
          </w:p>
        </w:tc>
      </w:tr>
      <w:tr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{#votM}{nombre}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{cargo}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{rol}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Presencial / Virtual{/votM}</w:t>
            </w:r>
          </w:p>
        </w:tc>
      </w:tr>
    </w:tbl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Miembros con voz (sin voto) y Secretaría</w:t>
      </w:r>
    </w:p>
    <w:tbl>
      <w:tblPr>
        <w:tblW w:type="dxa" w:w="95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3400"/>
        <w:gridCol w:w="2200"/>
        <w:gridCol w:w="940"/>
      </w:tblGrid>
      <w:tr>
        <w:tc>
          <w:tcPr>
            <w:tcW w:type="dxa" w:w="3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Cargo institucional</w:t>
            </w:r>
          </w:p>
        </w:tc>
        <w:tc>
          <w:tcPr>
            <w:tcW w:type="dxa" w:w="2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 en la Comisión</w:t>
            </w:r>
          </w:p>
        </w:tc>
        <w:tc>
          <w:tcPr>
            <w:tcW w:type="dxa" w:w="9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Asistencia</w:t>
            </w:r>
          </w:p>
        </w:tc>
      </w:tr>
      <w:tr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{#sinVoto}{nombre}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{cargo}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{rol}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Presencial / Virtual{/sinVoto}</w:t>
            </w:r>
          </w:p>
        </w:tc>
      </w:tr>
    </w:tbl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Constatado el quórum, la Presidencia declara instalada la sesión y dispone dar lectura al orden del día: (1) antecedentes; (2) evaluación de ofertas técnicas; (3) evaluación de ofertas económicas; (4) selección y adjudicación; (5) varios.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Primero — Antecedentes del proceso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Mediante memorando/resolución N.º {memoNro}, de fecha {fechaInicio}, se solicitó el inicio del proceso para “{objeto}”. El presupuesto referencial corresponde a {presupuestoLetras}. Se remitieron las invitaciones, recibiéndose las siguientes ofertas hasta {fechaLimite}:</w:t>
      </w:r>
    </w:p>
    <w:tbl>
      <w:tblPr>
        <w:tblW w:type="dxa" w:w="95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00"/>
        <w:gridCol w:w="2200"/>
        <w:gridCol w:w="1200"/>
        <w:gridCol w:w="1540"/>
      </w:tblGrid>
      <w:tr>
        <w:tc>
          <w:tcPr>
            <w:tcW w:type="dxa" w:w="46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Proponente</w:t>
            </w:r>
          </w:p>
        </w:tc>
        <w:tc>
          <w:tcPr>
            <w:tcW w:type="dxa" w:w="2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 de entrega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Hora</w:t>
            </w:r>
          </w:p>
        </w:tc>
        <w:tc>
          <w:tcPr>
            <w:tcW w:type="dxa" w:w="15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4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{#provs}{razon}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{fof}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__:__</w:t>
            </w:r>
          </w:p>
        </w:tc>
        <w:tc>
          <w:tcPr>
            <w:tcW w:type="dxa" w:w="15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A tiempo{/provs}</w:t>
            </w:r>
          </w:p>
        </w:tc>
      </w:tr>
    </w:tbl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Segundo — Revisión y evaluación de la oferta técnica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Matriz Cumple o No cumple — entrega de documentos</w:t>
      </w:r>
    </w:p>
    <w:tbl>
      <w:tblPr>
        <w:tblW w:type="dxa" w:w="95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5340"/>
        <w:gridCol w:w="1500"/>
        <w:gridCol w:w="1200"/>
      </w:tblGrid>
      <w:tr>
        <w:tc>
          <w:tcPr>
            <w:tcW w:type="dxa" w:w="15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Formularios</w:t>
            </w:r>
          </w:p>
        </w:tc>
        <w:tc>
          <w:tcPr>
            <w:tcW w:type="dxa" w:w="53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  <w:tc>
          <w:tcPr>
            <w:tcW w:type="dxa" w:w="15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Observaciones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{#docs}{formulario}</w:t>
            </w:r>
          </w:p>
        </w:tc>
        <w:tc>
          <w:tcPr>
            <w:tcW w:type="dxa" w:w="53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{detalle}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{res}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{/docs}</w:t>
            </w:r>
          </w:p>
        </w:tc>
      </w:tr>
    </w:tbl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La evaluación técnica por puntaje se toma a cada miembro con voz y voto y se promedia por criterio. Umbral mínimo: {umbral} de {tecMax} puntos.</w:t>
      </w:r>
    </w:p>
    <w:p>
      <w:pPr>
        <w:spacing w:after="20" w:before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{#tecOfs}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{razon}</w:t>
      </w:r>
    </w:p>
    <w:tbl>
      <w:tblPr>
        <w:tblW w:type="dxa" w:w="98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40"/>
        <w:gridCol w:w="900"/>
        <w:gridCol w:w="1200"/>
        <w:gridCol w:w="1200"/>
        <w:gridCol w:w="1200"/>
        <w:gridCol w:w="1200"/>
        <w:gridCol w:w="1000"/>
      </w:tblGrid>
      <w:tr>
        <w:tc>
          <w:tcPr>
            <w:tcW w:type="dxa" w:w="31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9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Puntaje TDR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{m1nom}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{m2nom}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{m3nom}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{m4nom}</w:t>
            </w:r>
          </w:p>
        </w:tc>
        <w:tc>
          <w:tcPr>
            <w:tcW w:type="dxa" w:w="1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Promedio</w:t>
            </w:r>
          </w:p>
        </w:tc>
      </w:tr>
      <w:tr>
        <w:tc>
          <w:tcPr>
            <w:tcW w:type="dxa" w:w="3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{#rows}{criterio}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{max}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{n1}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{n2}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{n3}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{n4}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{promedio}{/rows}</w:t>
            </w:r>
          </w:p>
        </w:tc>
      </w:tr>
      <w:tr>
        <w:tc>
          <w:tcPr>
            <w:tcW w:type="dxa" w:w="31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técnico</w:t>
            </w:r>
          </w:p>
        </w:tc>
        <w:tc>
          <w:tcPr>
            <w:tcW w:type="dxa" w:w="9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{tecMax}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{t1}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{t2}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{t3}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{t4}</w:t>
            </w:r>
          </w:p>
        </w:tc>
        <w:tc>
          <w:tcPr>
            <w:tcW w:type="dxa" w:w="1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{tecProm}</w:t>
            </w:r>
          </w:p>
        </w:tc>
      </w:tr>
    </w:tbl>
    <w:p>
      <w:pPr>
        <w:spacing w:after="40" w:line="264"/>
        <w:jc w:val="both"/>
      </w:pPr>
      <w:r>
        <w:rPr>
          <w:rFonts w:ascii="Calibri" w:cs="Calibri" w:eastAsia="Calibri" w:hAnsi="Calibri"/>
          <w:color w:val="6B7180"/>
          <w:sz w:val="18"/>
          <w:szCs w:val="18"/>
        </w:rPr>
        <w:t xml:space="preserve">Promedio técnico {tecProm}/{tecMax}. {resultadoTec}</w:t>
      </w:r>
    </w:p>
    <w:p>
      <w:pPr>
        <w:spacing w:after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{/tecOfs}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Tercero — Revisión y evaluación de la oferta económica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Superada la evaluación técnica, se procede a la apertura y evaluación de las ofertas económicas de los proponentes calificados. El puntaje económico se asigna inverso-proporcional a la oferta más baja.</w:t>
      </w:r>
    </w:p>
    <w:p>
      <w:pPr>
        <w:spacing w:after="20" w:before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{#ecoOfs}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{razon} — RUC {ruc}</w:t>
      </w:r>
    </w:p>
    <w:tbl>
      <w:tblPr>
        <w:tblW w:type="dxa" w:w="98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40"/>
        <w:gridCol w:w="900"/>
        <w:gridCol w:w="1200"/>
        <w:gridCol w:w="1200"/>
        <w:gridCol w:w="1200"/>
        <w:gridCol w:w="1200"/>
        <w:gridCol w:w="1000"/>
      </w:tblGrid>
      <w:tr>
        <w:tc>
          <w:tcPr>
            <w:tcW w:type="dxa" w:w="31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9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Puntaje TDR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{m1nom}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{m2nom}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{m3nom}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{m4nom}</w:t>
            </w:r>
          </w:p>
        </w:tc>
        <w:tc>
          <w:tcPr>
            <w:tcW w:type="dxa" w:w="1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Promedio</w:t>
            </w:r>
          </w:p>
        </w:tc>
      </w:tr>
      <w:tr>
        <w:tc>
          <w:tcPr>
            <w:tcW w:type="dxa" w:w="3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{#rows}{criterio}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{max}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{n1}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{n2}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{n3}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{n4}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{promedio}{/rows}</w:t>
            </w:r>
          </w:p>
        </w:tc>
      </w:tr>
      <w:tr>
        <w:tc>
          <w:tcPr>
            <w:tcW w:type="dxa" w:w="3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Oferta económica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{ecoMax}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{e}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{e}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{e}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{e}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{e}</w:t>
            </w:r>
          </w:p>
        </w:tc>
      </w:tr>
      <w:tr>
        <w:tc>
          <w:tcPr>
            <w:tcW w:type="dxa" w:w="31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9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{puntosTotal}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{tt1}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{tt2}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{tt3}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{tt4}</w:t>
            </w:r>
          </w:p>
        </w:tc>
        <w:tc>
          <w:tcPr>
            <w:tcW w:type="dxa" w:w="1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{totProm}</w:t>
            </w:r>
          </w:p>
        </w:tc>
      </w:tr>
    </w:tbl>
    <w:p>
      <w:pPr>
        <w:spacing w:after="40" w:line="264"/>
        <w:jc w:val="both"/>
      </w:pPr>
      <w:r>
        <w:rPr>
          <w:rFonts w:ascii="Calibri" w:cs="Calibri" w:eastAsia="Calibri" w:hAnsi="Calibri"/>
          <w:sz w:val="18"/>
          <w:szCs w:val="18"/>
        </w:rPr>
        <w:t xml:space="preserve">Valor total ofertado: {montoLetras}. {ahorroTxt} Puntaje total: {totProm}/{puntosTotal}.</w:t>
      </w:r>
    </w:p>
    <w:p>
      <w:pPr>
        <w:spacing w:after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{/ecoOfs}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Cuarto — Selección y adjudicación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{decisionUnica}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☑ Recomienda la adjudicación</w:t>
      </w:r>
      <w:r>
        <w:rPr>
          <w:rFonts w:ascii="Calibri" w:cs="Calibri" w:eastAsia="Calibri" w:hAnsi="Calibri"/>
          <w:sz w:val="20"/>
          <w:szCs w:val="20"/>
        </w:rPr>
        <w:t xml:space="preserve"> a favor de {proveedor} con RUC {proveedorRuc}, por un valor total de {montoAdjLetras}, por obtener el mayor puntaje total ({totalAdj} de {puntosTotal} puntos).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☐ Declara desierto el procedimiento.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Quinto — Varios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Ninguno.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Cierre de la sesión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No existiendo más puntos que tratar, se da por terminada la sesión. Como constancia de lo actuado y resuelto, los/las miembros de la Comisión de Calificación suscriben la presente acta.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Miembros con voz y voto:</w:t>
      </w:r>
    </w:p>
    <w:p>
      <w:pPr>
        <w:spacing w:after="0" w:before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{#votM}</w:t>
      </w:r>
    </w:p>
    <w:p>
      <w:pPr>
        <w:spacing w:after="0" w:before="20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______________________________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{nombre}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{rol}</w:t>
      </w:r>
    </w:p>
    <w:p>
      <w:pPr>
        <w:spacing w:after="0"/>
      </w:pPr>
      <w:r>
        <w:rPr>
          <w:rFonts w:ascii="Calibri" w:cs="Calibri" w:eastAsia="Calibri" w:hAnsi="Calibri"/>
          <w:color w:val="6B7180"/>
          <w:sz w:val="18"/>
          <w:szCs w:val="18"/>
        </w:rPr>
        <w:t xml:space="preserve">{cargo}</w:t>
      </w:r>
    </w:p>
    <w:p>
      <w:pPr>
        <w:spacing w:after="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{/votM}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Miembros con voz sin voto:</w:t>
      </w:r>
    </w:p>
    <w:p>
      <w:pPr>
        <w:spacing w:after="0" w:before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{#sinVoto}</w:t>
      </w:r>
    </w:p>
    <w:p>
      <w:pPr>
        <w:spacing w:after="0" w:before="20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______________________________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{nombre}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{rol}</w:t>
      </w:r>
    </w:p>
    <w:p>
      <w:pPr>
        <w:spacing w:after="0"/>
      </w:pPr>
      <w:r>
        <w:rPr>
          <w:rFonts w:ascii="Calibri" w:cs="Calibri" w:eastAsia="Calibri" w:hAnsi="Calibri"/>
          <w:color w:val="6B7180"/>
          <w:sz w:val="18"/>
          <w:szCs w:val="18"/>
        </w:rPr>
        <w:t xml:space="preserve">{cargo}</w:t>
      </w:r>
    </w:p>
    <w:p>
      <w:pPr>
        <w:spacing w:after="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{/sinVoto}</w:t>
      </w:r>
    </w:p>
    <w:sectPr>
      <w:headerReference w:type="default" r:id="rId7"/>
      <w:footerReference w:type="default" r:id="rId8"/>
      <w:pgSz w:w="12240" w:h="15840" w:orient="portrait"/>
      <w:pgMar w:top="1100" w:right="1000" w:bottom="11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6" w:space="3"/>
      </w:pBdr>
      <w:tabs>
        <w:tab w:val="right" w:pos="9840"/>
      </w:tabs>
    </w:pPr>
    <w:r>
      <w:rPr>
        <w:rFonts w:ascii="Calibri" w:cs="Calibri" w:eastAsia="Calibri" w:hAnsi="Calibri"/>
        <w:color w:val="6B7180"/>
        <w:sz w:val="14"/>
        <w:szCs w:val="14"/>
      </w:rPr>
      <w:t xml:space="preserve">Acta de apertura de sobres — FAP/FIAS</w:t>
    </w:r>
    <w:r>
      <w:rPr>
        <w:rFonts w:ascii="Calibri" w:cs="Calibri" w:eastAsia="Calibri" w:hAnsi="Calibri"/>
        <w:sz w:val="14"/>
        <w:szCs w:val="14"/>
      </w:rPr>
      <w:tab/>
    </w:r>
    <w:r>
      <w:rPr>
        <w:rFonts w:ascii="Calibri" w:cs="Calibri" w:eastAsia="Calibri" w:hAnsi="Calibri"/>
        <w:color w:val="6B7180"/>
        <w:sz w:val="14"/>
        <w:szCs w:val="14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249C" w:sz="8" w:space="3"/>
      </w:pBdr>
      <w:spacing w:after="40"/>
    </w:pPr>
    <w:r>
      <w:rPr>
        <w:rFonts w:ascii="Calibri" w:cs="Calibri" w:eastAsia="Calibri" w:hAnsi="Calibri"/>
        <w:color w:val="6B7180"/>
        <w:sz w:val="15"/>
        <w:szCs w:val="15"/>
      </w:rPr>
      <w:t xml:space="preserve">FIAS — FAP · Comisión de Calificación de Ofertas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3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apertura de sobres — Consultoría (por puntos)</dc:title>
  <dc:creator>FAP · FIAS</dc:creator>
  <cp:lastModifiedBy>Un-named</cp:lastModifiedBy>
  <cp:revision>1</cp:revision>
  <dcterms:created xsi:type="dcterms:W3CDTF">2026-07-22T20:14:47.984Z</dcterms:created>
  <dcterms:modified xsi:type="dcterms:W3CDTF">2026-07-22T20:14:47.998Z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