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GUIA #1 -   VERSIONAMIENTO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APRENDIZ: DIEGO FELIPE MARTINEZ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INGENIERÍA DE SOFTWARE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FICHA: 3065835-2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708160" cy="3885119"/>
            <wp:effectExtent b="0" l="0" r="0" t="0"/>
            <wp:docPr descr="Tema 1. Introducción a la Ingeniería del Software | Slide Set" id="1476325626" name="image2.jpg"/>
            <a:graphic>
              <a:graphicData uri="http://schemas.openxmlformats.org/drawingml/2006/picture">
                <pic:pic>
                  <pic:nvPicPr>
                    <pic:cNvPr descr="Tema 1. Introducción a la Ingeniería del Software | Slide Set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160" cy="388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4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¿Qué es un repositorio y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mencione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2 ejemplos de estos (proveedores online)?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 un espacio centralizado donde se almacena, organiza, mantiene y difunde información digital, habitualmente archivos informáticos, que pueden contener trabajos científicos, conjuntos de datos o software. Los repositorios tienen sus inicios en los años 90, en el área de la física y las matemáticas, donde los académicos aprovecharon la red para compartir sus investigaciones con otros colegas. Este proceso era valioso porque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acelera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el ciclo científico de publicación y revisión de resultados.​ Son sistemas de información que preservan y organizan materiales científicos y académicos como apoyo a la investigación y el aprendizaje, a la vez que garantizan el acceso a la 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4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Databit: repositorio de datos de investigación desarrollado con el apoyo del Instituto de Servicios de Museos y Bibliotecas.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hanging="4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Odisea: es un inventario internacional de los depósitos que admiten conjuntos de datos de investigación a escala mundial. Permite buscar y sugerir nuevos bancos de datos.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¿Cuáles son los principales componentes de un versionamiento en la herramienta GIT?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Git, el versionamiento se basa en los siguientes componentes principales: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Repositorio (Repo): Es el lugar donde se almacena todo el historial de cambios del proyecto.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Commits: Son instantáneas del estado del proyecto en un momento determinado. 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tiene un mensaje descriptivo.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Ramas (Branches): Permiten trabajar en diferentes versiones del proyecto de manera simultánea.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- Rama principal (Master): Es la rama principal del proyecto.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- Rama de desarrollo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): Es la rama donde se realizan los cambios.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Merge: Es el proceso de combinar cambios de una rama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otra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Tags: Son referencias a commits específicos, utilizados para marcar versiones importantes.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Historial (Log): Es el registro de todos los commits realizados.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Etiquetas (Labels): Son categorías para commits y issues.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 Issues: Son problemas o tareas pendientes.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9. Pull Request (PR): Es una solicitud para revisar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mergear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cambios.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10. Fork: Es una copia del repositorio original.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¿Mencione con sus propias palabras las ventajas que tiene GIT frente a otros proveedores de repositorios?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Una de las grandes ventajas que tiene GIT frente a otros repositorios es la flexibilidad ya que cuenta con muchas más herramientas que otros repositorios, un ejemplo seria que GIT cuenta con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Git Hub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que es la herramienta que nos ayuda con los proyectos ya sean individuales o grupales.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Otra ventaja es la seguridad ya que GIT nos permite clonar un repositorio y así mismo se obtiene una copia lo cual da un respaldo al repositorio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Mencione por lo menos 5 ejemplos de los comandos básicos que se usan en GIT.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init: Inicializa un repositorio.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branch: Crea una nueva rama.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commit: Crea un commit.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push: Envía cambios al repositorio remoto.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pull: Descarga cambios del repositorio remoto.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merge: Combina cambios.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git add: Agrega cambios al área de staging.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¿Qué son y cuáles son las funciones de los branch?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es la forma de hacer cambios en nuestro proyecto sin afectar el flujo de trabajo de la rama principal, esto porque queremos trabajar una parte muy específica de la aplicación.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Una de las funciones es que se pueden trabajar nuevas tareas, pero sin hacer cambios en la parte principal, en pocas palabras podemos experimentar sin dañar la parte principal o la base del trabajo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También se puede corregir el trabajo principal pero en una rama diferente y después de ser corregida esta se puede fusionar en la parte principal del trabajo.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 proyectos el branch sirve para que el miembro del equipo haga su trabajo en específico y así la colaboración es más fácil al momento de terminar el trabajo.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¿Cuál es el nombre del branch principal?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El nombre del branch principal es Main.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Cómo se puede observar en el material de apoyo y con ayuda de lo mencionado en clase realice la investigación de 1 de gestor de GIT de forma local y realice el paso a paso de para su instalación y funcionamiento como lo muestra el ejemplo de Netbeans.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Instalación del gestor de GIT (GitHub Desktop)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Buscar en el navegador GitHub Desktop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Meterse en la página de GitHub Desktop y darle a descargar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Después de descargar, abrir o ejecutar la aplicación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 entrar a la aplicación toca sincronizar con la cuenta de GitHub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Autorizar la cuenta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FUNCIONAMIENTO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 entrar a la aplicación le aparecen los respectivos repositorios que uno tiene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Elige el repositorio que quiere clonar y configura la carpeta en la que 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clonara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el repositorio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 le da a la opción clonar y prácticamente se estará clonando satisfactoriamente 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• Crear cuenta en GitHub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Clonar el repositorio de forma local en el equipo de trabajo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Realizar el Readme definiendo el componente metodológico de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 proyecto individual.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Crear un Branch llamado (Project).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• Crear por lo menos 3 Commits subiendo los trabajos realizados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 su proyecto.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123623" cy="3219450"/>
            <wp:effectExtent b="0" l="0" r="0" t="0"/>
            <wp:docPr id="14763256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623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12130" cy="2705100"/>
            <wp:effectExtent b="0" l="0" r="0" t="0"/>
            <wp:docPr id="14763256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12130" cy="2882900"/>
            <wp:effectExtent b="0" l="0" r="0" t="0"/>
            <wp:docPr id="14763256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12130" cy="3670300"/>
            <wp:effectExtent b="0" l="0" r="0" t="0"/>
            <wp:docPr id="14763256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1200" w:hanging="435"/>
      </w:pPr>
      <w:rPr>
        <w:sz w:val="40"/>
        <w:szCs w:val="40"/>
      </w:rPr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5" w:hanging="4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325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325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325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325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325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325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325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325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325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325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325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325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325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3255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3255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3255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3255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3255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325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325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325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325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325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3255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3255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3255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325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3255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3255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211B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11BE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7fM4t1dm51GvflROD7Jm9x5AhQ==">CgMxLjA4AHIhMWZFQ2NFSVNDMXVnUzNTQ21rVUhFYVBsYVJiOUJGVHRy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2024-10-18T18:37:00Z</dcterms:created>
  <dc:creator>Dayana Hernandez Medina</dc:creator>
</cp:coreProperties>
</file>