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Edgar Joaquín Delgado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Maria Camila Hurtado Castañeda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Cesar Andrés Sánchez Sosa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Brian Andrés Estupiñán Parada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Diego Jose Navarro Ruiz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Cumple, deben incluir todas las tablas fuertes del MR normalizado como elementos DAO en la capa de persistencia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corregirlo, dado que el diagrama de se debe expresar a nivel de diseño, no de análisis, además, deben de definir las relaciones entre las clases presentadas.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la conectividad a Internet (si la tienen), diferenciar los nodos de los dispositivos a emplear en el despliegue.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evidencian las herramientas tecnológicas del lado del desarrollo, además, deben incluir las versiones de las mismas.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actualizar el documento, de acuerdo  a las correcciones antes requeridas.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Corregir diagramas de casos de uso, diligenciar un dato para la entrada del mismo, no se puede tomar como un CU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Los objetivos específicos no son coherentes con el software propuesto en los diagramas.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 y dar claridad a los conceptos de portabilidad. 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Limitar el módulo de marketing, no está claro el alcance.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_X_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EDUER PABÓN MORALES</w:t>
            </w:r>
          </w:p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EDICSON NIÑO AREVALO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F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B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B1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B2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B3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B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5F2txBjkPpEPCSYHaU8yy8YIg==">AMUW2mV+i6zKfuR6E3/8xcdi089w9+8guZST0p8uHnRj9ipnbDkHk65AMSVhE2gvt14fvzhFsm7GUULB6UuomEZAKicGGoHJuw6Mi59W9vk4ff/t9zUh+Yk=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