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DISSENY D’UN TECLAT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3rfmkdnt6cbj" w:id="0"/>
      <w:bookmarkEnd w:id="0"/>
      <w:r w:rsidDel="00000000" w:rsidR="00000000" w:rsidRPr="00000000">
        <w:rPr>
          <w:b w:val="1"/>
          <w:rtl w:val="0"/>
        </w:rPr>
        <w:t xml:space="preserve">Distribució Feina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lgkclhvm2hu0" w:id="1"/>
      <w:bookmarkEnd w:id="1"/>
      <w:r w:rsidDel="00000000" w:rsidR="00000000" w:rsidRPr="00000000">
        <w:rPr>
          <w:b w:val="1"/>
          <w:rtl w:val="0"/>
        </w:rPr>
        <w:t xml:space="preserve">Projectes de Programació: </w:t>
      </w:r>
      <w:r w:rsidDel="00000000" w:rsidR="00000000" w:rsidRPr="00000000">
        <w:rPr>
          <w:rtl w:val="0"/>
        </w:rPr>
        <w:t xml:space="preserve">Quadrimestre Tardor 2023-24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</w:rPr>
      </w:pPr>
      <w:bookmarkStart w:colFirst="0" w:colLast="0" w:name="_asyp31lq70zf" w:id="2"/>
      <w:bookmarkEnd w:id="2"/>
      <w:r w:rsidDel="00000000" w:rsidR="00000000" w:rsidRPr="00000000">
        <w:rPr>
          <w:b w:val="1"/>
          <w:rtl w:val="0"/>
        </w:rPr>
        <w:t xml:space="preserve">Versió del lliurament: 1.1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bookmarkStart w:colFirst="0" w:colLast="0" w:name="_e3l20h4c11p9" w:id="3"/>
      <w:bookmarkEnd w:id="3"/>
      <w:r w:rsidDel="00000000" w:rsidR="00000000" w:rsidRPr="00000000">
        <w:rPr>
          <w:b w:val="1"/>
          <w:rtl w:val="0"/>
        </w:rPr>
        <w:t xml:space="preserve">1ª Entrega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 12.3: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Pau Costafreda Tur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Xavier López Mañes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Hakima Marouan Marouan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Diego Rodriguez Milagro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5200650</wp:posOffset>
            </wp:positionV>
            <wp:extent cx="1304925" cy="4476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4940787</wp:posOffset>
            </wp:positionV>
            <wp:extent cx="3181350" cy="9620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 Costafreda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Hakima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Xavier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Estadística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