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65BE" w:rsidRPr="00DC65BE" w:rsidRDefault="00DC65BE" w:rsidP="00DC65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5BE">
        <w:rPr>
          <w:rFonts w:ascii="Times New Roman" w:hAnsi="Times New Roman" w:cs="Times New Roman"/>
          <w:b/>
          <w:bCs/>
          <w:sz w:val="28"/>
          <w:szCs w:val="28"/>
        </w:rPr>
        <w:t>Триумфальная арка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0B5DC7" w:rsidRPr="00FE7EC5" w:rsidRDefault="00FE7EC5" w:rsidP="000B5D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Московские т</w:t>
      </w:r>
      <w:r w:rsidR="000B5DC7" w:rsidRPr="00FE7EC5">
        <w:rPr>
          <w:rFonts w:ascii="Times New Roman" w:hAnsi="Times New Roman" w:cs="Times New Roman"/>
          <w:sz w:val="28"/>
          <w:szCs w:val="28"/>
        </w:rPr>
        <w:t>риумфальн</w:t>
      </w:r>
      <w:r>
        <w:rPr>
          <w:rFonts w:ascii="Times New Roman" w:hAnsi="Times New Roman" w:cs="Times New Roman"/>
          <w:sz w:val="28"/>
          <w:szCs w:val="28"/>
        </w:rPr>
        <w:t>ые ворота (или Триумфальная</w:t>
      </w:r>
      <w:r w:rsidR="000B5DC7" w:rsidRPr="00FE7EC5">
        <w:rPr>
          <w:rFonts w:ascii="Times New Roman" w:hAnsi="Times New Roman" w:cs="Times New Roman"/>
          <w:sz w:val="28"/>
          <w:szCs w:val="28"/>
        </w:rPr>
        <w:t xml:space="preserve"> арка</w:t>
      </w:r>
      <w:r>
        <w:rPr>
          <w:rFonts w:ascii="Times New Roman" w:hAnsi="Times New Roman" w:cs="Times New Roman"/>
          <w:sz w:val="28"/>
          <w:szCs w:val="28"/>
        </w:rPr>
        <w:t>)</w:t>
      </w:r>
      <w:r w:rsidR="000B5DC7" w:rsidRPr="00FE7EC5">
        <w:rPr>
          <w:rFonts w:ascii="Times New Roman" w:hAnsi="Times New Roman" w:cs="Times New Roman"/>
          <w:sz w:val="28"/>
          <w:szCs w:val="28"/>
        </w:rPr>
        <w:t xml:space="preserve"> — памятник героям Отеч</w:t>
      </w:r>
      <w:r>
        <w:rPr>
          <w:rFonts w:ascii="Times New Roman" w:hAnsi="Times New Roman" w:cs="Times New Roman"/>
          <w:sz w:val="28"/>
          <w:szCs w:val="28"/>
        </w:rPr>
        <w:t>ественной войны 1812 года. Р</w:t>
      </w:r>
      <w:r w:rsidR="000B5DC7" w:rsidRPr="00FE7EC5">
        <w:rPr>
          <w:rFonts w:ascii="Times New Roman" w:hAnsi="Times New Roman" w:cs="Times New Roman"/>
          <w:sz w:val="28"/>
          <w:szCs w:val="28"/>
        </w:rPr>
        <w:t xml:space="preserve">асполагается на Кутузовском проспекте и вместе с «Кутузовской избой» и музеем-панорамой «Бородинская битва» составляет единый мемориальный комплекс на площади Победы в районе Поклонной горы. </w:t>
      </w:r>
    </w:p>
    <w:p w:rsidR="00FE7EC5" w:rsidRPr="00FE7EC5" w:rsidRDefault="000B5DC7" w:rsidP="000B5DC7">
      <w:pP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FE7EC5">
        <w:rPr>
          <w:rFonts w:ascii="Times New Roman" w:hAnsi="Times New Roman" w:cs="Times New Roman"/>
          <w:sz w:val="28"/>
          <w:szCs w:val="28"/>
        </w:rPr>
        <w:t xml:space="preserve">Первая каменная Триумфальная арка, созданная по проекту архитектора Осипа Бове, была открыта в сентябре 1834 года у Тверской заставы. Арка простояла 102 года, </w:t>
      </w:r>
      <w:r w:rsidR="00FE7EC5" w:rsidRPr="00FE7EC5">
        <w:rPr>
          <w:rFonts w:ascii="Times New Roman" w:hAnsi="Times New Roman" w:cs="Times New Roman"/>
          <w:sz w:val="28"/>
          <w:szCs w:val="28"/>
        </w:rPr>
        <w:t xml:space="preserve">затем в 1936 году ее разобрали </w:t>
      </w:r>
      <w:r w:rsidR="00FE7EC5">
        <w:rPr>
          <w:rFonts w:ascii="Times New Roman" w:hAnsi="Times New Roman" w:cs="Times New Roman"/>
          <w:sz w:val="28"/>
          <w:szCs w:val="28"/>
        </w:rPr>
        <w:t>для</w:t>
      </w:r>
      <w:r w:rsidR="00FE7EC5" w:rsidRPr="00FE7EC5">
        <w:rPr>
          <w:rFonts w:ascii="Times New Roman" w:hAnsi="Times New Roman" w:cs="Times New Roman"/>
          <w:sz w:val="28"/>
          <w:szCs w:val="28"/>
        </w:rPr>
        <w:t xml:space="preserve"> </w:t>
      </w:r>
      <w:r w:rsidRPr="00FE7EC5">
        <w:rPr>
          <w:rFonts w:ascii="Times New Roman" w:hAnsi="Times New Roman" w:cs="Times New Roman"/>
          <w:sz w:val="28"/>
          <w:szCs w:val="28"/>
        </w:rPr>
        <w:t xml:space="preserve">перепланировки площади Белорусского вокзала. </w:t>
      </w:r>
      <w:r w:rsidR="00FE7EC5" w:rsidRPr="00FE7EC5">
        <w:rPr>
          <w:rFonts w:ascii="Times New Roman" w:hAnsi="Times New Roman" w:cs="Times New Roman"/>
          <w:sz w:val="28"/>
          <w:szCs w:val="28"/>
        </w:rPr>
        <w:t xml:space="preserve">Во время </w:t>
      </w:r>
      <w:r w:rsidR="00FE7EC5" w:rsidRPr="00FE7EC5">
        <w:rPr>
          <w:rFonts w:ascii="Times New Roman" w:hAnsi="Times New Roman" w:cs="Times New Roman"/>
          <w:sz w:val="28"/>
          <w:szCs w:val="28"/>
          <w:shd w:val="clear" w:color="auto" w:fill="FFFFFF"/>
        </w:rPr>
        <w:t>Великой Отечественной войны</w:t>
      </w:r>
      <w:r w:rsidR="00FE7EC5" w:rsidRPr="00FE7EC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все колонны арки, кроме одной, были переплавлены.</w:t>
      </w:r>
    </w:p>
    <w:p w:rsidR="00675481" w:rsidRPr="000B5DC7" w:rsidRDefault="000B5DC7" w:rsidP="000B5DC7">
      <w:r w:rsidRPr="00FE7EC5">
        <w:rPr>
          <w:rFonts w:ascii="Times New Roman" w:hAnsi="Times New Roman" w:cs="Times New Roman"/>
          <w:sz w:val="28"/>
          <w:szCs w:val="28"/>
        </w:rPr>
        <w:t xml:space="preserve">В 1966 году </w:t>
      </w:r>
      <w:r w:rsidR="00FE7EC5" w:rsidRPr="00FE7EC5">
        <w:rPr>
          <w:rFonts w:ascii="Times New Roman" w:hAnsi="Times New Roman" w:cs="Times New Roman"/>
          <w:sz w:val="28"/>
          <w:szCs w:val="28"/>
        </w:rPr>
        <w:t>Триумфальную арку</w:t>
      </w:r>
      <w:r w:rsidRPr="00FE7EC5">
        <w:rPr>
          <w:rFonts w:ascii="Times New Roman" w:hAnsi="Times New Roman" w:cs="Times New Roman"/>
          <w:sz w:val="28"/>
          <w:szCs w:val="28"/>
        </w:rPr>
        <w:t xml:space="preserve"> восстановили в первозданном виде и разместили на Кутузовском проспекте. </w:t>
      </w:r>
      <w:r w:rsidR="00FE7EC5" w:rsidRPr="00FE7EC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При сооружении ворот были использованы обмерные чертежи и зарисовки ворот 1936 года, а также авторская модель сооружения, хранившаяся в Музее архитектуры. </w:t>
      </w:r>
      <w:r w:rsidRPr="00FE7EC5">
        <w:rPr>
          <w:rFonts w:ascii="Times New Roman" w:hAnsi="Times New Roman" w:cs="Times New Roman"/>
          <w:sz w:val="28"/>
          <w:szCs w:val="28"/>
        </w:rPr>
        <w:t>Пилоны арки, изготовленные из белого камня, дополняют шесть пар чугунных колонн 12-метровой высоты. Между колоннами располагаются скульптуры воинов в античных доспехах. Выше размещаются горельефы, на которых изображены сцены победы русских воинов над врагами, и статуи богинь Победы. Композицию венчает колесница, запряжённая шестёркой лошадей. Арка гармонично вписывается в городской пейзаж и в то же время эффектно выделяется на фоне окружающих зданий.</w:t>
      </w:r>
      <w:r w:rsidRPr="000B5DC7">
        <w:br/>
      </w:r>
      <w:r w:rsidRPr="000B5DC7">
        <w:br/>
      </w:r>
    </w:p>
    <w:sectPr w:rsidR="00675481" w:rsidRPr="000B5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2CC"/>
    <w:rsid w:val="000B5DC7"/>
    <w:rsid w:val="002D62CC"/>
    <w:rsid w:val="00675481"/>
    <w:rsid w:val="00AB6AA0"/>
    <w:rsid w:val="00C74E28"/>
    <w:rsid w:val="00DC65BE"/>
    <w:rsid w:val="00FE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17040"/>
  <w15:chartTrackingRefBased/>
  <w15:docId w15:val="{D193FFAA-88B6-47FB-A38C-02A88E2CF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B5DC7"/>
    <w:rPr>
      <w:color w:val="0000FF"/>
      <w:u w:val="single"/>
    </w:rPr>
  </w:style>
  <w:style w:type="character" w:customStyle="1" w:styleId="cite-bracket">
    <w:name w:val="cite-bracket"/>
    <w:basedOn w:val="a0"/>
    <w:rsid w:val="00FE7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Оксана Королевская</cp:lastModifiedBy>
  <cp:revision>4</cp:revision>
  <dcterms:created xsi:type="dcterms:W3CDTF">2025-11-30T09:09:00Z</dcterms:created>
  <dcterms:modified xsi:type="dcterms:W3CDTF">2025-12-05T16:12:00Z</dcterms:modified>
</cp:coreProperties>
</file>