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0"/>
        <w:ind/>
        <w:rPr/>
      </w:pPr>
      <w:r/>
      <w:r/>
    </w:p>
    <w:p>
      <w:pPr>
        <w:pBdr/>
        <w:spacing w:after="160"/>
        <w:ind/>
        <w:jc w:val="center"/>
        <w:rPr/>
      </w:pPr>
      <w:r>
        <w:rPr>
          <w:rFonts w:ascii="Calibri" w:hAnsi="Calibri" w:eastAsia="Calibri" w:cs="Calibri"/>
          <w:b/>
          <w:bCs/>
          <w:color w:val="1f3864"/>
          <w:sz w:val="52"/>
          <w:szCs w:val="52"/>
        </w:rPr>
        <w:t xml:space="preserve">GUIDE PRATIQUE DU PIPELINE</w:t>
      </w:r>
      <w:r/>
    </w:p>
    <w:p>
      <w:pPr>
        <w:pBdr/>
        <w:spacing w:after="80"/>
        <w:ind/>
        <w:jc w:val="center"/>
        <w:rPr/>
      </w:pPr>
      <w:r>
        <w:rPr>
          <w:rFonts w:ascii="Calibri" w:hAnsi="Calibri" w:eastAsia="Calibri" w:cs="Calibri"/>
          <w:i/>
          <w:iCs/>
          <w:color w:val="2e74b5"/>
          <w:sz w:val="30"/>
          <w:szCs w:val="30"/>
        </w:rPr>
        <w:t xml:space="preserve">Extraction et analyse phylogénétique des séquences de Borrelia</w:t>
      </w:r>
      <w:r/>
    </w:p>
    <w:p>
      <w:pPr>
        <w:pBdr/>
        <w:spacing w:after="500"/>
        <w:ind/>
        <w:jc w:val="center"/>
        <w:rPr/>
      </w:pPr>
      <w:r>
        <w:rPr>
          <w:rFonts w:ascii="Calibri" w:hAnsi="Calibri" w:eastAsia="Calibri" w:cs="Calibri"/>
          <w:i/>
          <w:iCs/>
          <w:color w:val="2e74b5"/>
          <w:sz w:val="26"/>
          <w:szCs w:val="26"/>
        </w:rPr>
        <w:t xml:space="preserve">à partir de données de séquençage métagénomique</w:t>
      </w:r>
      <w:r/>
    </w:p>
    <w:p>
      <w:pPr>
        <w:pBdr>
          <w:bottom w:val="single" w:color="2e74b5" w:sz="10" w:space="4"/>
        </w:pBdr>
        <w:spacing w:after="100"/>
        <w:ind/>
        <w:rPr/>
      </w:pPr>
      <w:r/>
      <w:r/>
    </w:p>
    <w:p>
      <w:pPr>
        <w:pBdr/>
        <w:spacing w:after="300"/>
        <w:ind/>
        <w:rPr/>
      </w:pPr>
      <w:r/>
      <w:r/>
    </w:p>
    <w:tbl>
      <w:tblPr>
        <w:tblW w:w="7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4000"/>
      </w:tblGrid>
      <w:tr>
        <w:trPr/>
        <w:tc>
          <w:tcPr>
            <w:shd w:val="clear" w:color="auto" w:fill="1f3864"/>
            <w:tcBorders/>
            <w:tcMar>
              <w:left w:w="160" w:type="dxa"/>
              <w:top w:w="80" w:type="dxa"/>
              <w:right w:w="160" w:type="dxa"/>
              <w:bottom w:w="80" w:type="dxa"/>
            </w:tcMar>
            <w:tcW w:w="3000" w:type="dxa"/>
          </w:tcPr>
          <w:p>
            <w:pPr>
              <w:pBdr/>
              <w:spacing w:after="80" w:before="80"/>
              <w:ind/>
              <w:rPr/>
            </w:pPr>
            <w:r>
              <w:rPr>
                <w:rFonts w:ascii="Calibri" w:hAnsi="Calibri" w:eastAsia="Calibri" w:cs="Calibri"/>
                <w:b/>
                <w:bCs/>
                <w:color w:val="ffffff"/>
                <w:sz w:val="20"/>
                <w:szCs w:val="20"/>
              </w:rPr>
              <w:t xml:space="preserve">Stagiaire</w:t>
            </w:r>
            <w:r/>
          </w:p>
        </w:tc>
        <w:tc>
          <w:tcPr>
            <w:shd w:val="clear" w:color="auto" w:fill="d6e4f0"/>
            <w:tcBorders/>
            <w:tcMar>
              <w:left w:w="160" w:type="dxa"/>
              <w:top w:w="80" w:type="dxa"/>
              <w:right w:w="160" w:type="dxa"/>
              <w:bottom w:w="80" w:type="dxa"/>
            </w:tcMar>
            <w:tcW w:w="4000" w:type="dxa"/>
          </w:tcPr>
          <w:p>
            <w:pPr>
              <w:pBdr/>
              <w:spacing w:after="80" w:before="80"/>
              <w:ind/>
              <w:rPr/>
            </w:pPr>
            <w:r>
              <w:rPr>
                <w:rFonts w:ascii="Calibri" w:hAnsi="Calibri" w:eastAsia="Calibri" w:cs="Calibri"/>
                <w:color w:val="222222"/>
                <w:sz w:val="20"/>
                <w:szCs w:val="20"/>
              </w:rPr>
              <w:t xml:space="preserve">Assa Mbaye (Étudiante L3 Bioinformatique)</w:t>
            </w:r>
            <w:r/>
          </w:p>
        </w:tc>
      </w:tr>
      <w:tr>
        <w:trPr/>
        <w:tc>
          <w:tcPr>
            <w:shd w:val="clear" w:color="auto" w:fill="1f3864"/>
            <w:tcBorders/>
            <w:tcMar>
              <w:left w:w="160" w:type="dxa"/>
              <w:top w:w="80" w:type="dxa"/>
              <w:right w:w="160" w:type="dxa"/>
              <w:bottom w:w="80" w:type="dxa"/>
            </w:tcMar>
            <w:tcW w:w="3000" w:type="dxa"/>
          </w:tcPr>
          <w:p>
            <w:pPr>
              <w:pBdr/>
              <w:spacing w:after="80" w:before="80"/>
              <w:ind/>
              <w:rPr/>
            </w:pPr>
            <w:r>
              <w:rPr>
                <w:rFonts w:ascii="Calibri" w:hAnsi="Calibri" w:eastAsia="Calibri" w:cs="Calibri"/>
                <w:b/>
                <w:bCs/>
                <w:color w:val="ffffff"/>
                <w:sz w:val="20"/>
                <w:szCs w:val="20"/>
              </w:rPr>
              <w:t xml:space="preserve">Superviseur</w:t>
            </w:r>
            <w:r/>
          </w:p>
        </w:tc>
        <w:tc>
          <w:tcPr>
            <w:shd w:val="clear" w:color="auto" w:fill="f2f2f2"/>
            <w:tcBorders/>
            <w:tcMar>
              <w:left w:w="160" w:type="dxa"/>
              <w:top w:w="80" w:type="dxa"/>
              <w:right w:w="160" w:type="dxa"/>
              <w:bottom w:w="80" w:type="dxa"/>
            </w:tcMar>
            <w:tcW w:w="4000" w:type="dxa"/>
          </w:tcPr>
          <w:p>
            <w:pPr>
              <w:pBdr/>
              <w:spacing w:after="80" w:before="80"/>
              <w:ind/>
              <w:rPr/>
            </w:pPr>
            <w:r>
              <w:rPr>
                <w:rFonts w:ascii="Calibri" w:hAnsi="Calibri" w:eastAsia="Calibri" w:cs="Calibri"/>
                <w:color w:val="222222"/>
                <w:sz w:val="20"/>
                <w:szCs w:val="20"/>
              </w:rPr>
              <w:t xml:space="preserve">Ndongo Dieng (Étudiant Master 2 Bioinformatique)</w:t>
            </w:r>
            <w:r/>
          </w:p>
        </w:tc>
      </w:tr>
      <w:tr>
        <w:trPr/>
        <w:tc>
          <w:tcPr>
            <w:shd w:val="clear" w:color="auto" w:fill="1f3864"/>
            <w:tcBorders/>
            <w:tcMar>
              <w:left w:w="160" w:type="dxa"/>
              <w:top w:w="80" w:type="dxa"/>
              <w:right w:w="160" w:type="dxa"/>
              <w:bottom w:w="80" w:type="dxa"/>
            </w:tcMar>
            <w:tcW w:w="3000" w:type="dxa"/>
          </w:tcPr>
          <w:p>
            <w:pPr>
              <w:pBdr/>
              <w:spacing w:after="80" w:before="80"/>
              <w:ind/>
              <w:rPr/>
            </w:pPr>
            <w:r>
              <w:rPr>
                <w:rFonts w:ascii="Calibri" w:hAnsi="Calibri" w:eastAsia="Calibri" w:cs="Calibri"/>
                <w:b/>
                <w:bCs/>
                <w:color w:val="ffffff"/>
                <w:sz w:val="20"/>
                <w:szCs w:val="20"/>
              </w:rPr>
              <w:t xml:space="preserve">Durée du stage</w:t>
            </w:r>
            <w:r/>
          </w:p>
        </w:tc>
        <w:tc>
          <w:tcPr>
            <w:shd w:val="clear" w:color="auto" w:fill="d6e4f0"/>
            <w:tcBorders/>
            <w:tcMar>
              <w:left w:w="160" w:type="dxa"/>
              <w:top w:w="80" w:type="dxa"/>
              <w:right w:w="160" w:type="dxa"/>
              <w:bottom w:w="80" w:type="dxa"/>
            </w:tcMar>
            <w:tcW w:w="4000" w:type="dxa"/>
          </w:tcPr>
          <w:p>
            <w:pPr>
              <w:pBdr/>
              <w:spacing w:after="80" w:before="80"/>
              <w:ind/>
              <w:rPr/>
            </w:pPr>
            <w:r>
              <w:rPr>
                <w:rFonts w:ascii="Calibri" w:hAnsi="Calibri" w:eastAsia="Calibri" w:cs="Calibri"/>
                <w:color w:val="222222"/>
                <w:sz w:val="20"/>
                <w:szCs w:val="20"/>
              </w:rPr>
              <w:t xml:space="preserve">2 mois</w:t>
            </w:r>
            <w:r/>
          </w:p>
        </w:tc>
      </w:tr>
      <w:tr>
        <w:trPr/>
        <w:tc>
          <w:tcPr>
            <w:shd w:val="clear" w:color="auto" w:fill="1f3864"/>
            <w:tcBorders/>
            <w:tcMar>
              <w:left w:w="160" w:type="dxa"/>
              <w:top w:w="80" w:type="dxa"/>
              <w:right w:w="160" w:type="dxa"/>
              <w:bottom w:w="80" w:type="dxa"/>
            </w:tcMar>
            <w:tcW w:w="3000" w:type="dxa"/>
          </w:tcPr>
          <w:p>
            <w:pPr>
              <w:pBdr/>
              <w:spacing w:after="80" w:before="80"/>
              <w:ind/>
              <w:rPr/>
            </w:pPr>
            <w:r>
              <w:rPr>
                <w:rFonts w:ascii="Calibri" w:hAnsi="Calibri" w:eastAsia="Calibri" w:cs="Calibri"/>
                <w:b/>
                <w:bCs/>
                <w:color w:val="ffffff"/>
                <w:sz w:val="20"/>
                <w:szCs w:val="20"/>
              </w:rPr>
              <w:t xml:space="preserve">Objectif</w:t>
            </w:r>
            <w:r/>
          </w:p>
        </w:tc>
        <w:tc>
          <w:tcPr>
            <w:shd w:val="clear" w:color="auto" w:fill="f2f2f2"/>
            <w:tcBorders/>
            <w:tcMar>
              <w:left w:w="160" w:type="dxa"/>
              <w:top w:w="80" w:type="dxa"/>
              <w:right w:w="160" w:type="dxa"/>
              <w:bottom w:w="80" w:type="dxa"/>
            </w:tcMar>
            <w:tcW w:w="4000" w:type="dxa"/>
          </w:tcPr>
          <w:p>
            <w:pPr>
              <w:pBdr/>
              <w:spacing w:after="80" w:before="80"/>
              <w:ind/>
              <w:rPr/>
            </w:pPr>
            <w:r>
              <w:rPr>
                <w:rFonts w:ascii="Calibri" w:hAnsi="Calibri" w:eastAsia="Calibri" w:cs="Calibri"/>
                <w:color w:val="222222"/>
                <w:sz w:val="20"/>
                <w:szCs w:val="20"/>
              </w:rPr>
              <w:t xml:space="preserve">Pipeline : métagénomique → Borrelia → Phylogénie</w:t>
            </w:r>
            <w:r/>
          </w:p>
        </w:tc>
      </w:tr>
      <w:tr>
        <w:trPr/>
        <w:tc>
          <w:tcPr>
            <w:shd w:val="clear" w:color="auto" w:fill="1f3864"/>
            <w:tcBorders/>
            <w:tcMar>
              <w:left w:w="160" w:type="dxa"/>
              <w:top w:w="80" w:type="dxa"/>
              <w:right w:w="160" w:type="dxa"/>
              <w:bottom w:w="80" w:type="dxa"/>
            </w:tcMar>
            <w:tcW w:w="3000" w:type="dxa"/>
          </w:tcPr>
          <w:p>
            <w:pPr>
              <w:pBdr/>
              <w:spacing w:after="80" w:before="80"/>
              <w:ind/>
              <w:rPr/>
            </w:pPr>
            <w:r>
              <w:rPr>
                <w:rFonts w:ascii="Calibri" w:hAnsi="Calibri" w:eastAsia="Calibri" w:cs="Calibri"/>
                <w:b/>
                <w:bCs/>
                <w:color w:val="ffffff"/>
                <w:sz w:val="20"/>
                <w:szCs w:val="20"/>
              </w:rPr>
              <w:t xml:space="preserve">Date</w:t>
            </w:r>
            <w:r/>
          </w:p>
        </w:tc>
        <w:tc>
          <w:tcPr>
            <w:shd w:val="clear" w:color="auto" w:fill="d6e4f0"/>
            <w:tcBorders/>
            <w:tcMar>
              <w:left w:w="160" w:type="dxa"/>
              <w:top w:w="80" w:type="dxa"/>
              <w:right w:w="160" w:type="dxa"/>
              <w:bottom w:w="80" w:type="dxa"/>
            </w:tcMar>
            <w:tcW w:w="4000" w:type="dxa"/>
          </w:tcPr>
          <w:p>
            <w:pPr>
              <w:pBdr/>
              <w:spacing w:after="80" w:before="80"/>
              <w:ind/>
              <w:rPr/>
            </w:pPr>
            <w:r>
              <w:rPr>
                <w:rFonts w:ascii="Calibri" w:hAnsi="Calibri" w:eastAsia="Calibri" w:cs="Calibri"/>
                <w:color w:val="222222"/>
                <w:sz w:val="20"/>
                <w:szCs w:val="20"/>
              </w:rPr>
              <w:t xml:space="preserve">août 2026/Octobre 2026</w:t>
            </w:r>
            <w:r/>
          </w:p>
        </w:tc>
      </w:tr>
    </w:tbl>
    <w:p>
      <w:pPr>
        <w:pBdr/>
        <w:spacing w:after="400"/>
        <w:ind/>
        <w:rPr/>
      </w:pPr>
      <w:r/>
      <w:r/>
    </w:p>
    <w:p>
      <w:pPr>
        <w:pBdr/>
        <w:spacing w:after="200"/>
        <w:ind/>
        <w:jc w:val="center"/>
        <w:rPr/>
      </w:pPr>
      <w:r>
        <w:rPr>
          <w:rFonts w:ascii="Calibri" w:hAnsi="Calibri" w:eastAsia="Calibri" w:cs="Calibri"/>
          <w:i/>
          <w:iCs/>
          <w:color w:val="555555"/>
          <w:sz w:val="20"/>
          <w:szCs w:val="20"/>
        </w:rPr>
        <w:t xml:space="preserve">Ce guide accompagne la stagiaire étape par étape dans la réalisation du pipeline bioinformatique complet.</w:t>
      </w:r>
      <w:r/>
    </w:p>
    <w:p>
      <w:pPr>
        <w:pBdr/>
        <w:spacing w:after="0"/>
        <w:ind/>
        <w:rPr/>
      </w:pPr>
      <w:r>
        <w:br/>
      </w:r>
      <w:r/>
    </w:p>
    <w:p>
      <w:pPr>
        <w:pStyle w:val="878"/>
        <w:pBdr>
          <w:bottom w:val="single" w:color="1f3864" w:sz="8" w:space="4"/>
        </w:pBdr>
        <w:spacing w:after="160" w:before="400"/>
        <w:ind/>
        <w:rPr/>
      </w:pPr>
      <w:r>
        <w:rPr>
          <w:rFonts w:ascii="Calibri" w:hAnsi="Calibri" w:eastAsia="Calibri" w:cs="Calibri"/>
          <w:b/>
          <w:bCs/>
          <w:color w:val="1f3864"/>
          <w:sz w:val="36"/>
          <w:szCs w:val="36"/>
        </w:rPr>
        <w:t xml:space="preserve">Vue d'ensemble du pipeline</w:t>
      </w:r>
      <w:r/>
    </w:p>
    <w:p>
      <w:pPr>
        <w:pBdr/>
        <w:spacing w:after="100"/>
        <w:ind/>
        <w:rPr/>
      </w:pPr>
      <w:r>
        <w:rPr>
          <w:rFonts w:ascii="Calibri" w:hAnsi="Calibri" w:eastAsia="Calibri" w:cs="Calibri"/>
          <w:sz w:val="21"/>
          <w:szCs w:val="21"/>
        </w:rPr>
        <w:t xml:space="preserve">Le pipeline complet se déroule en 8 étapes successives. Chaque étape produit des fichiers qui servent d'entrée à l'étape suivante.</w:t>
      </w:r>
      <w:r/>
    </w:p>
    <w:p>
      <w:pPr>
        <w:pBd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00"/>
        <w:gridCol w:w="2400"/>
        <w:gridCol w:w="2400"/>
        <w:gridCol w:w="3400"/>
      </w:tblGrid>
      <w:tr>
        <w:trPr>
          <w:tblHeader/>
        </w:trPr>
        <w:tc>
          <w:tcPr>
            <w:shd w:val="clear" w:color="auto" w:fill="1f3864"/>
            <w:tcBorders/>
            <w:tcMar>
              <w:left w:w="120" w:type="dxa"/>
              <w:top w:w="60" w:type="dxa"/>
              <w:right w:w="120" w:type="dxa"/>
              <w:bottom w:w="60" w:type="dxa"/>
            </w:tcMar>
            <w:tcW w:w="800" w:type="dxa"/>
            <w:vAlign w:val="center"/>
          </w:tcPr>
          <w:p>
            <w:pPr>
              <w:pBdr/>
              <w:spacing w:after="80" w:before="80"/>
              <w:ind/>
              <w:jc w:val="center"/>
              <w:rPr/>
            </w:pPr>
            <w:r>
              <w:rPr>
                <w:rFonts w:ascii="Calibri" w:hAnsi="Calibri" w:eastAsia="Calibri" w:cs="Calibri"/>
                <w:b/>
                <w:bCs/>
                <w:color w:val="ffffff"/>
                <w:sz w:val="19"/>
                <w:szCs w:val="19"/>
              </w:rPr>
              <w:t xml:space="preserve">Étape</w:t>
            </w:r>
            <w:r/>
          </w:p>
        </w:tc>
        <w:tc>
          <w:tcPr>
            <w:shd w:val="clear" w:color="auto" w:fill="1f3864"/>
            <w:tcBorders/>
            <w:tcMar>
              <w:left w:w="120" w:type="dxa"/>
              <w:top w:w="60" w:type="dxa"/>
              <w:right w:w="120" w:type="dxa"/>
              <w:bottom w:w="60" w:type="dxa"/>
            </w:tcMar>
            <w:tcW w:w="2400" w:type="dxa"/>
            <w:vAlign w:val="center"/>
          </w:tcPr>
          <w:p>
            <w:pPr>
              <w:pBdr/>
              <w:spacing w:after="80" w:before="80"/>
              <w:ind/>
              <w:jc w:val="center"/>
              <w:rPr/>
            </w:pPr>
            <w:r>
              <w:rPr>
                <w:rFonts w:ascii="Calibri" w:hAnsi="Calibri" w:eastAsia="Calibri" w:cs="Calibri"/>
                <w:b/>
                <w:bCs/>
                <w:color w:val="ffffff"/>
                <w:sz w:val="19"/>
                <w:szCs w:val="19"/>
              </w:rPr>
              <w:t xml:space="preserve">Nom</w:t>
            </w:r>
            <w:r/>
          </w:p>
        </w:tc>
        <w:tc>
          <w:tcPr>
            <w:shd w:val="clear" w:color="auto" w:fill="1f3864"/>
            <w:tcBorders/>
            <w:tcMar>
              <w:left w:w="120" w:type="dxa"/>
              <w:top w:w="60" w:type="dxa"/>
              <w:right w:w="120" w:type="dxa"/>
              <w:bottom w:w="60" w:type="dxa"/>
            </w:tcMar>
            <w:tcW w:w="2400" w:type="dxa"/>
            <w:vAlign w:val="center"/>
          </w:tcPr>
          <w:p>
            <w:pPr>
              <w:pBdr/>
              <w:spacing w:after="80" w:before="80"/>
              <w:ind/>
              <w:jc w:val="center"/>
              <w:rPr/>
            </w:pPr>
            <w:r>
              <w:rPr>
                <w:rFonts w:ascii="Calibri" w:hAnsi="Calibri" w:eastAsia="Calibri" w:cs="Calibri"/>
                <w:b/>
                <w:bCs/>
                <w:color w:val="ffffff"/>
                <w:sz w:val="19"/>
                <w:szCs w:val="19"/>
              </w:rPr>
              <w:t xml:space="preserve">Outils principaux</w:t>
            </w:r>
            <w:r/>
          </w:p>
        </w:tc>
        <w:tc>
          <w:tcPr>
            <w:shd w:val="clear" w:color="auto" w:fill="1f3864"/>
            <w:tcBorders/>
            <w:tcMar>
              <w:left w:w="120" w:type="dxa"/>
              <w:top w:w="60" w:type="dxa"/>
              <w:right w:w="120" w:type="dxa"/>
              <w:bottom w:w="60" w:type="dxa"/>
            </w:tcMar>
            <w:tcW w:w="3400" w:type="dxa"/>
            <w:vAlign w:val="center"/>
          </w:tcPr>
          <w:p>
            <w:pPr>
              <w:pBdr/>
              <w:spacing w:after="80" w:before="80"/>
              <w:ind/>
              <w:jc w:val="center"/>
              <w:rPr/>
            </w:pPr>
            <w:r>
              <w:rPr>
                <w:rFonts w:ascii="Calibri" w:hAnsi="Calibri" w:eastAsia="Calibri" w:cs="Calibri"/>
                <w:b/>
                <w:bCs/>
                <w:color w:val="ffffff"/>
                <w:sz w:val="19"/>
                <w:szCs w:val="19"/>
              </w:rPr>
              <w:t xml:space="preserve">Fichiers produits</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0</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Préparation de l'environnement</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Conda, Git</w:t>
            </w:r>
            <w:r/>
          </w:p>
        </w:tc>
        <w:tc>
          <w:tcPr>
            <w:shd w:val="clear" w:color="auto" w:fill="ffffff"/>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Environnement conda, dossiers projet</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0.5</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Obtention des données métagénomiques</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SRA-toolkit, wget</w:t>
            </w:r>
            <w:r/>
          </w:p>
        </w:tc>
        <w:tc>
          <w:tcPr>
            <w:shd w:val="clear" w:color="auto" w:fill="f2f2f2"/>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Fichiers FASTQ bruts (R1, R2)</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1</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Contrôle qualité</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FastQC, Fastp, MultiQC</w:t>
            </w:r>
            <w:r/>
          </w:p>
        </w:tc>
        <w:tc>
          <w:tcPr>
            <w:shd w:val="clear" w:color="auto" w:fill="ffffff"/>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FASTQ nettoyés, rapports QC</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2</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Extraction des reads Borrelia</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Kraken2, Bracken, KrakenTools</w:t>
            </w:r>
            <w:r/>
          </w:p>
        </w:tc>
        <w:tc>
          <w:tcPr>
            <w:shd w:val="clear" w:color="auto" w:fill="f2f2f2"/>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FASTQ Borrelia extraits</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3</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Téléchargement référence NCBI</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wget, BWA index, samtools faidx</w:t>
            </w:r>
            <w:r/>
          </w:p>
        </w:tc>
        <w:tc>
          <w:tcPr>
            <w:shd w:val="clear" w:color="auto" w:fill="ffffff"/>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Génome référence indexé</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4</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Alignement sur la référence</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BWA mem, Samtools, IGV</w:t>
            </w:r>
            <w:r/>
          </w:p>
        </w:tc>
        <w:tc>
          <w:tcPr>
            <w:shd w:val="clear" w:color="auto" w:fill="f2f2f2"/>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Fichier BAM, statistiques mapping</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5</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Variants et génome consensus</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bcftools, bgzip, tabix</w:t>
            </w:r>
            <w:r/>
          </w:p>
        </w:tc>
        <w:tc>
          <w:tcPr>
            <w:shd w:val="clear" w:color="auto" w:fill="ffffff"/>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Fichier VCF, séquence consensus FASTA</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6</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Préparation phylogénie</w:t>
            </w:r>
            <w:r/>
          </w:p>
        </w:tc>
        <w:tc>
          <w:tcPr>
            <w:shd w:val="clear" w:color="auto" w:fill="f2f2f2"/>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efetch, cat</w:t>
            </w:r>
            <w:r/>
          </w:p>
        </w:tc>
        <w:tc>
          <w:tcPr>
            <w:shd w:val="clear" w:color="auto" w:fill="f2f2f2"/>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Fichier multi-FASTA toutes souches</w:t>
            </w:r>
            <w:r/>
          </w:p>
        </w:tc>
      </w:tr>
      <w:tr>
        <w:trPr/>
        <w:tc>
          <w:tcPr>
            <w:shd w:val="clear" w:color="auto" w:fill="d6e4f0"/>
            <w:tcBorders/>
            <w:tcMar>
              <w:left w:w="120" w:type="dxa"/>
              <w:top w:w="60" w:type="dxa"/>
              <w:right w:w="120" w:type="dxa"/>
              <w:bottom w:w="60" w:type="dxa"/>
            </w:tcMar>
            <w:tcW w:w="800" w:type="dxa"/>
          </w:tcPr>
          <w:p>
            <w:pPr>
              <w:pBdr/>
              <w:spacing w:after="60" w:before="60"/>
              <w:ind/>
              <w:rPr/>
            </w:pPr>
            <w:r>
              <w:rPr>
                <w:rFonts w:ascii="Calibri" w:hAnsi="Calibri" w:eastAsia="Calibri" w:cs="Calibri"/>
                <w:b/>
                <w:bCs/>
                <w:color w:val="1f3864"/>
                <w:sz w:val="19"/>
                <w:szCs w:val="19"/>
              </w:rPr>
              <w:t xml:space="preserve">Étape 7</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Phylogénie</w:t>
            </w:r>
            <w:r/>
          </w:p>
        </w:tc>
        <w:tc>
          <w:tcPr>
            <w:shd w:val="clear" w:color="auto" w:fill="ffffff"/>
            <w:tcBorders/>
            <w:tcMar>
              <w:left w:w="120" w:type="dxa"/>
              <w:top w:w="60" w:type="dxa"/>
              <w:right w:w="120" w:type="dxa"/>
              <w:bottom w:w="60" w:type="dxa"/>
            </w:tcMar>
            <w:tcW w:w="2400" w:type="dxa"/>
          </w:tcPr>
          <w:p>
            <w:pPr>
              <w:pBdr/>
              <w:spacing w:after="60" w:before="60"/>
              <w:ind/>
              <w:rPr/>
            </w:pPr>
            <w:r>
              <w:rPr>
                <w:rFonts w:ascii="Calibri" w:hAnsi="Calibri" w:eastAsia="Calibri" w:cs="Calibri"/>
                <w:b w:val="0"/>
                <w:bCs w:val="0"/>
                <w:color w:val="222222"/>
                <w:sz w:val="19"/>
                <w:szCs w:val="19"/>
              </w:rPr>
              <w:t xml:space="preserve">MAFFT, IQ-TREE2, FigTree/iTOL</w:t>
            </w:r>
            <w:r/>
          </w:p>
        </w:tc>
        <w:tc>
          <w:tcPr>
            <w:shd w:val="clear" w:color="auto" w:fill="ffffff"/>
            <w:tcBorders/>
            <w:tcMar>
              <w:left w:w="120" w:type="dxa"/>
              <w:top w:w="60" w:type="dxa"/>
              <w:right w:w="120" w:type="dxa"/>
              <w:bottom w:w="60" w:type="dxa"/>
            </w:tcMar>
            <w:tcW w:w="3400" w:type="dxa"/>
          </w:tcPr>
          <w:p>
            <w:pPr>
              <w:pBdr/>
              <w:spacing w:after="60" w:before="60"/>
              <w:ind/>
              <w:rPr/>
            </w:pPr>
            <w:r>
              <w:rPr>
                <w:rFonts w:ascii="Calibri" w:hAnsi="Calibri" w:eastAsia="Calibri" w:cs="Calibri"/>
                <w:b w:val="0"/>
                <w:bCs w:val="0"/>
                <w:color w:val="222222"/>
                <w:sz w:val="19"/>
                <w:szCs w:val="19"/>
              </w:rPr>
              <w:t xml:space="preserve">Arbre phylogénétique, identification clade</w:t>
            </w:r>
            <w:r/>
          </w:p>
        </w:tc>
      </w:tr>
    </w:tbl>
    <w:p>
      <w:pPr>
        <w:pBdr/>
        <w:spacing w:after="20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ce4d6"/>
            <w:tcBorders/>
            <w:tcMar>
              <w:left w:w="200" w:type="dxa"/>
              <w:top w:w="100" w:type="dxa"/>
              <w:right w:w="200" w:type="dxa"/>
              <w:bottom w:w="100" w:type="dxa"/>
            </w:tcMar>
          </w:tcPr>
          <w:p>
            <w:pPr>
              <w:pBdr/>
              <w:spacing w:after="60" w:before="60"/>
              <w:ind/>
              <w:rPr/>
            </w:pPr>
            <w:r>
              <w:rPr>
                <w:rFonts w:ascii="Calibri" w:hAnsi="Calibri" w:eastAsia="Calibri" w:cs="Calibri"/>
                <w:b/>
                <w:bCs/>
                <w:color w:val="c55a11"/>
                <w:sz w:val="20"/>
                <w:szCs w:val="20"/>
              </w:rPr>
              <w:t xml:space="preserve">⚠️  Important</w:t>
            </w:r>
            <w:r/>
          </w:p>
          <w:p>
            <w:pPr>
              <w:pBdr/>
              <w:spacing w:after="40" w:before="20"/>
              <w:ind/>
              <w:rPr/>
            </w:pPr>
            <w:r>
              <w:rPr>
                <w:rFonts w:ascii="Calibri" w:hAnsi="Calibri" w:eastAsia="Calibri" w:cs="Calibri"/>
                <w:color w:val="333333"/>
                <w:sz w:val="19"/>
                <w:szCs w:val="19"/>
              </w:rPr>
              <w:t xml:space="preserve">Chaque étape doit être validée avant de passer à la suivante.</w:t>
            </w:r>
            <w:r/>
          </w:p>
          <w:p>
            <w:pPr>
              <w:pBdr/>
              <w:spacing w:after="40" w:before="20"/>
              <w:ind/>
              <w:rPr/>
            </w:pPr>
            <w:r>
              <w:rPr>
                <w:rFonts w:ascii="Calibri" w:hAnsi="Calibri" w:eastAsia="Calibri" w:cs="Calibri"/>
                <w:color w:val="333333"/>
                <w:sz w:val="19"/>
                <w:szCs w:val="19"/>
              </w:rPr>
              <w:t xml:space="preserve">En cas de problème, vérifier les fichiers de log générés à chaque étape.</w:t>
            </w:r>
            <w:r/>
          </w:p>
          <w:p>
            <w:pPr>
              <w:pBdr/>
              <w:spacing w:after="40" w:before="20"/>
              <w:ind/>
              <w:rPr/>
            </w:pPr>
            <w:r>
              <w:rPr>
                <w:rFonts w:ascii="Calibri" w:hAnsi="Calibri" w:eastAsia="Calibri" w:cs="Calibri"/>
                <w:color w:val="333333"/>
                <w:sz w:val="19"/>
                <w:szCs w:val="19"/>
              </w:rPr>
              <w:t xml:space="preserve">Toujours activer l'environnement conda avant de travailler : conda activate borrelia</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1f3864"/>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0 — Préparation de l'environnement</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Avant de toucher aux données, il faut s'assurer que tous les outils sont installés, les dossiers bien organisés, et le projet versionné avec Git. C'est comme préparer son plan de travail avant une expérience au laboratoire.</w:t>
      </w:r>
      <w:r/>
    </w:p>
    <w:p>
      <w:pPr>
        <w:pStyle w:val="880"/>
        <w:pBdr/>
        <w:spacing w:after="80" w:before="200"/>
        <w:ind/>
        <w:rPr/>
      </w:pPr>
      <w:r>
        <w:rPr>
          <w:rFonts w:ascii="Calibri" w:hAnsi="Calibri" w:eastAsia="Calibri" w:cs="Calibri"/>
          <w:b/>
          <w:bCs/>
          <w:color w:val="1f3864"/>
          <w:sz w:val="24"/>
          <w:szCs w:val="24"/>
        </w:rPr>
        <w:t xml:space="preserve">0.1 — Installer Conda</w:t>
      </w:r>
      <w:r/>
    </w:p>
    <w:p>
      <w:pPr>
        <w:pBdr/>
        <w:spacing w:after="100"/>
        <w:ind/>
        <w:rPr/>
      </w:pPr>
      <w:r>
        <w:rPr>
          <w:rFonts w:ascii="Calibri" w:hAnsi="Calibri" w:eastAsia="Calibri" w:cs="Calibri"/>
          <w:sz w:val="21"/>
          <w:szCs w:val="21"/>
        </w:rPr>
        <w:t xml:space="preserve">Conda est un gestionnaire de paquets qui permet d'installer facilement des outils bioinformatiques sans conflits entre eux.</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si conda est déjà installé</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--version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Si pas installé, télécharger Miniconda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wget https://repo.anaconda.com/miniconda/Miniconda3-latest-Linux-x86_64.sh</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bash Miniconda3-latest-Linux-x86_64.sh</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Redémarrer le terminal puis vérifier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--version</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0.2 — Créer l'environnement de travail</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Créer un environnement dédié au projet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create -n borrelia python=3.10 -y</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L'activer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activate 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Tu dois voir (borrelia) au début de ta ligne de commande</w:t>
            </w:r>
            <w:r/>
          </w:p>
        </w:tc>
      </w:tr>
    </w:tbl>
    <w:p>
      <w:pPr>
        <w:pBdr/>
        <w:spacing w:after="8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ff2cc"/>
            <w:tcBorders/>
            <w:tcMar>
              <w:left w:w="200" w:type="dxa"/>
              <w:top w:w="100" w:type="dxa"/>
              <w:right w:w="200" w:type="dxa"/>
              <w:bottom w:w="100" w:type="dxa"/>
            </w:tcMar>
          </w:tcPr>
          <w:p>
            <w:pPr>
              <w:pBdr/>
              <w:spacing w:after="60" w:before="60"/>
              <w:ind/>
              <w:rPr/>
            </w:pPr>
            <w:r>
              <w:rPr>
                <w:rFonts w:ascii="Calibri" w:hAnsi="Calibri" w:eastAsia="Calibri" w:cs="Calibri"/>
                <w:b/>
                <w:bCs/>
                <w:color w:val="b8860b"/>
                <w:sz w:val="20"/>
                <w:szCs w:val="20"/>
              </w:rPr>
              <w:t xml:space="preserve">💡 À retenir</w:t>
            </w:r>
            <w:r/>
          </w:p>
          <w:p>
            <w:pPr>
              <w:pBdr/>
              <w:spacing w:after="40" w:before="20"/>
              <w:ind/>
              <w:rPr/>
            </w:pPr>
            <w:r>
              <w:rPr>
                <w:rFonts w:ascii="Calibri" w:hAnsi="Calibri" w:eastAsia="Calibri" w:cs="Calibri"/>
                <w:color w:val="333333"/>
                <w:sz w:val="19"/>
                <w:szCs w:val="19"/>
              </w:rPr>
              <w:t xml:space="preserve">Chaque fois que tu ouvres un nouveau terminal, tu dois réactiver l'environnement :</w:t>
            </w:r>
            <w:r/>
          </w:p>
          <w:p>
            <w:pPr>
              <w:pBdr/>
              <w:spacing w:after="40" w:before="20"/>
              <w:ind/>
              <w:rPr/>
            </w:pPr>
            <w:r>
              <w:rPr>
                <w:rFonts w:ascii="Calibri" w:hAnsi="Calibri" w:eastAsia="Calibri" w:cs="Calibri"/>
                <w:color w:val="333333"/>
                <w:sz w:val="19"/>
                <w:szCs w:val="19"/>
              </w:rPr>
              <w:t xml:space="preserve">    conda activate borrelia</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0.3 — Installer tous les outils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Outils de contrôle qualité</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install -c bioconda fastqc multiqc fastp -y</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Outils de classification taxonomique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install -c bioconda kraken2 bracken -y</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pip install krakentools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Outils d'alignement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install -c bioconda bwa samtools -y</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Outils de variants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install -c bioconda bcftools htslib -y</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Outils de phylogénie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install -c bioconda mafft iqtree -y</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Outils NCBI pour télécharger des séquences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conda install -c bioconda entrez-direct sra-tools -y</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0.4 — Vérifier les installations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fastqc --version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kraken2 --version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--version | head -1</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bcftools --version | head -1</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mafft --version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iqtree2 --version</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0.5 — Organiser les dossiers du projet</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Créer la structure complète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mkdir -p projet_borrelia/{data/{raw,clean,reference/souches_reference},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qc,kraken,mapping,variants,phylogeny,scripts,results}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la structure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tree projet_borrelia/</w:t>
            </w:r>
            <w:r/>
          </w:p>
        </w:tc>
      </w:tr>
    </w:tbl>
    <w:p>
      <w:pPr>
        <w:pBdr/>
        <w:spacing w:after="80"/>
        <w:ind/>
        <w:rPr/>
      </w:pPr>
      <w:r/>
      <w:r/>
    </w:p>
    <w:p>
      <w:pPr>
        <w:pBdr/>
        <w:spacing w:after="100"/>
        <w:ind/>
        <w:rPr/>
      </w:pPr>
      <w:r>
        <w:rPr>
          <w:rFonts w:ascii="Calibri" w:hAnsi="Calibri" w:eastAsia="Calibri" w:cs="Calibri"/>
          <w:sz w:val="21"/>
          <w:szCs w:val="21"/>
        </w:rPr>
        <w:t xml:space="preserve">Structure attendue :</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projet_borrelia/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raw/                    → fichiers FASTQ bruts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clean/                  → reads après nettoyage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reference/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souches_reference/  → génomes NCBI pour phylogénie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qc/                         → rapports qualité</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kraken/                     → résultats Kraken2</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mapping/                    → fichiers 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variants/                   → fichiers VCF et consensus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phylogeny/                  → alignement et arbre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scripts/                    → scripts Bash</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results/                    → figures et résumés</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0.6 — Initialiser Git</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cd projet_borrelia/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git init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Créer .gitignore pour exclure les gros fichiers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cat &gt; .gitignore &lt;&lt; 'EOF'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*.fastq</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*.fastq.gz</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*.bai</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*.fna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data/raw/</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data/clean/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EOF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Premier commit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git add .gitignore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git commit -m "Initialisation du projet pipeline Borrelia"</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Conda</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Comme un App Store pour outils bioinformatiques</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Environnement</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Espace isolé où les outils n'entrent pas en conflit</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Git</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Historique de sauvegarde de ton code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Structure dossiers</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Chaque type de fichier a sa place — ne pas mélanger</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2e74b5"/>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0.5 — Obtention des données métagénomiques</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Les données métagénomiques sont le matériel de départ de tout le projet. Il faut savoir d'où elles viennent, comment les obtenir et comment les vérifier avant de commencer.</w:t>
      </w:r>
      <w:r/>
    </w:p>
    <w:p>
      <w:pPr>
        <w:pStyle w:val="880"/>
        <w:pBdr/>
        <w:spacing w:after="80" w:before="200"/>
        <w:ind/>
        <w:rPr/>
      </w:pPr>
      <w:r>
        <w:rPr>
          <w:rFonts w:ascii="Calibri" w:hAnsi="Calibri" w:eastAsia="Calibri" w:cs="Calibri"/>
          <w:b/>
          <w:bCs/>
          <w:color w:val="1f3864"/>
          <w:sz w:val="24"/>
          <w:szCs w:val="24"/>
        </w:rPr>
        <w:t xml:space="preserve">Situation A — Les données sont fournies par le responsable</w:t>
      </w:r>
      <w:r/>
    </w:p>
    <w:p>
      <w:pPr>
        <w:pBdr/>
        <w:spacing w:after="100"/>
        <w:ind/>
        <w:rPr/>
      </w:pPr>
      <w:r>
        <w:rPr>
          <w:rFonts w:ascii="Calibri" w:hAnsi="Calibri" w:eastAsia="Calibri" w:cs="Calibri"/>
          <w:sz w:val="21"/>
          <w:szCs w:val="21"/>
        </w:rPr>
        <w:t xml:space="preserve">C'est le cas le plus probable dans votre stage.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Copier les données dans le dossier du projet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cp /chemin/vers/les/donnees/*.fastq.gz projet_borrelia/data/raw/</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que les fichiers sont bien là</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ls -lh projet_borrelia/data/raw/</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Tu dois voir deux fichiers par échantillon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sample_R1.fastq.gz   → reads sens direct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sample_R2.fastq.gz   → reads sens inverse (paired-end)</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l'intégrité des fichiers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md5sum data/raw/*.fastq.gz</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Situation B — Télécharger depuis SRA (NCBI)</w:t>
      </w:r>
      <w:r/>
    </w:p>
    <w:p>
      <w:pPr>
        <w:pBdr/>
        <w:spacing w:after="100"/>
        <w:ind/>
        <w:rPr/>
      </w:pPr>
      <w:r>
        <w:rPr>
          <w:rFonts w:ascii="Calibri" w:hAnsi="Calibri" w:eastAsia="Calibri" w:cs="Calibri"/>
          <w:sz w:val="21"/>
          <w:szCs w:val="21"/>
        </w:rPr>
        <w:t xml:space="preserve">Si les données ne sont pas encore disponibles, on peut utiliser des données publiques pour s'entraîner.</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Télécharger un échantillon métagénomique avec 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Exemple : SRR7168809 (métagénomique tiques)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prefetch SRR7168809 -O data/raw/</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Convertir en FASTQ paired-end</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fastq-dump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--split-files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--gzip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--outdir data/raw/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data/raw/SRR7168809/SRR7168809.sra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Renommer pour plus de clarté</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mv data/raw/SRR7168809_1.fastq.gz data/raw/sample_R1.fastq.gz</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mv data/raw/SRR7168809_2.fastq.gz data/raw/sample_R2.fastq.gz</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Vérifier les données avant de commencer</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1. Nombre de reads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 Nombre de reads R1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zcat data/raw/sample_R1.fastq.gz | wc -l | awk '{print $1/4, "reads"}'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 Nombre de reads R2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zcat data/raw/sample_R2.fastq.gz | wc -l | awk '{print $1/4, "reads"}'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2. Afficher les 2 premiers reads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zcat data/raw/sample_R1.fastq.gz | head -8</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3. Taille des fichiers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ls -lh data/raw/*.fastq.gz</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4. Longueur des reads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zcat data/raw/sample_R1.fastq.gz | awk 'NR%4==2 {print length($0)}'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sort | uniq -c | sort -rn | head -5</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Tableau à remplir sur les données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000"/>
        <w:gridCol w:w="5000"/>
      </w:tblGrid>
      <w:tr>
        <w:trPr>
          <w:tblHeader/>
        </w:trPr>
        <w:tc>
          <w:tcPr>
            <w:shd w:val="clear" w:color="auto" w:fill="1f3864"/>
            <w:tcBorders/>
            <w:tcMar>
              <w:left w:w="120" w:type="dxa"/>
              <w:top w:w="60" w:type="dxa"/>
              <w:right w:w="120" w:type="dxa"/>
              <w:bottom w:w="60" w:type="dxa"/>
            </w:tcMar>
            <w:tcW w:w="4000" w:type="dxa"/>
            <w:vAlign w:val="center"/>
          </w:tcPr>
          <w:p>
            <w:pPr>
              <w:pBdr/>
              <w:spacing w:after="80" w:before="80"/>
              <w:ind/>
              <w:jc w:val="center"/>
              <w:rPr/>
            </w:pPr>
            <w:r>
              <w:rPr>
                <w:rFonts w:ascii="Calibri" w:hAnsi="Calibri" w:eastAsia="Calibri" w:cs="Calibri"/>
                <w:b/>
                <w:bCs/>
                <w:color w:val="ffffff"/>
                <w:sz w:val="19"/>
                <w:szCs w:val="19"/>
              </w:rPr>
              <w:t xml:space="preserve">Information</w:t>
            </w:r>
            <w:r/>
          </w:p>
        </w:tc>
        <w:tc>
          <w:tcPr>
            <w:shd w:val="clear" w:color="auto" w:fill="1f3864"/>
            <w:tcBorders/>
            <w:tcMar>
              <w:left w:w="120" w:type="dxa"/>
              <w:top w:w="60" w:type="dxa"/>
              <w:right w:w="120" w:type="dxa"/>
              <w:bottom w:w="60" w:type="dxa"/>
            </w:tcMar>
            <w:tcW w:w="5000" w:type="dxa"/>
            <w:vAlign w:val="center"/>
          </w:tcPr>
          <w:p>
            <w:pPr>
              <w:pBdr/>
              <w:spacing w:after="80" w:before="80"/>
              <w:ind/>
              <w:jc w:val="center"/>
              <w:rPr/>
            </w:pPr>
            <w:r>
              <w:rPr>
                <w:rFonts w:ascii="Calibri" w:hAnsi="Calibri" w:eastAsia="Calibri" w:cs="Calibri"/>
                <w:b/>
                <w:bCs/>
                <w:color w:val="ffffff"/>
                <w:sz w:val="19"/>
                <w:szCs w:val="19"/>
              </w:rPr>
              <w:t xml:space="preserve">Valeur à noter</w:t>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Nom de l'échantillon</w:t>
            </w:r>
            <w:r/>
          </w:p>
        </w:tc>
        <w:tc>
          <w:tcPr>
            <w:shd w:val="clear" w:color="auto" w:fill="ffffff"/>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Origine de l'échantillon</w:t>
            </w:r>
            <w:r/>
          </w:p>
        </w:tc>
        <w:tc>
          <w:tcPr>
            <w:shd w:val="clear" w:color="auto" w:fill="f2f2f2"/>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t xml:space="preserve">Tique / sol / clinique...</w:t>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Type de séquençage</w:t>
            </w:r>
            <w:r/>
          </w:p>
        </w:tc>
        <w:tc>
          <w:tcPr>
            <w:shd w:val="clear" w:color="auto" w:fill="ffffff"/>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t xml:space="preserve">Illumina paired-end</w:t>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Longueur des reads</w:t>
            </w:r>
            <w:r/>
          </w:p>
        </w:tc>
        <w:tc>
          <w:tcPr>
            <w:shd w:val="clear" w:color="auto" w:fill="f2f2f2"/>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t xml:space="preserve">150 bp / 250 bp...</w:t>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Nombre de reads R1</w:t>
            </w:r>
            <w:r/>
          </w:p>
        </w:tc>
        <w:tc>
          <w:tcPr>
            <w:shd w:val="clear" w:color="auto" w:fill="ffffff"/>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Nombre de reads R2</w:t>
            </w:r>
            <w:r/>
          </w:p>
        </w:tc>
        <w:tc>
          <w:tcPr>
            <w:shd w:val="clear" w:color="auto" w:fill="f2f2f2"/>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Taille totale des fichiers</w:t>
            </w:r>
            <w:r/>
          </w:p>
        </w:tc>
        <w:tc>
          <w:tcPr>
            <w:shd w:val="clear" w:color="auto" w:fill="ffffff"/>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r>
            <w:r/>
          </w:p>
        </w:tc>
      </w:tr>
      <w:tr>
        <w:trPr/>
        <w:tc>
          <w:tcPr>
            <w:shd w:val="clear" w:color="auto" w:fill="d6e4f0"/>
            <w:tcBorders/>
            <w:tcMar>
              <w:left w:w="120" w:type="dxa"/>
              <w:top w:w="60" w:type="dxa"/>
              <w:right w:w="120" w:type="dxa"/>
              <w:bottom w:w="60" w:type="dxa"/>
            </w:tcMar>
            <w:tcW w:w="4000" w:type="dxa"/>
          </w:tcPr>
          <w:p>
            <w:pPr>
              <w:pBdr/>
              <w:spacing w:after="60" w:before="60"/>
              <w:ind/>
              <w:rPr/>
            </w:pPr>
            <w:r>
              <w:rPr>
                <w:rFonts w:ascii="Calibri" w:hAnsi="Calibri" w:eastAsia="Calibri" w:cs="Calibri"/>
                <w:b/>
                <w:bCs/>
                <w:color w:val="1f3864"/>
                <w:sz w:val="19"/>
                <w:szCs w:val="19"/>
              </w:rPr>
              <w:t xml:space="preserve">Accession SRA (si public)</w:t>
            </w:r>
            <w:r/>
          </w:p>
        </w:tc>
        <w:tc>
          <w:tcPr>
            <w:shd w:val="clear" w:color="auto" w:fill="f2f2f2"/>
            <w:tcBorders/>
            <w:tcMar>
              <w:left w:w="120" w:type="dxa"/>
              <w:top w:w="60" w:type="dxa"/>
              <w:right w:w="120" w:type="dxa"/>
              <w:bottom w:w="60" w:type="dxa"/>
            </w:tcMar>
            <w:tcW w:w="5000" w:type="dxa"/>
          </w:tcPr>
          <w:p>
            <w:pPr>
              <w:pBdr/>
              <w:spacing w:after="60" w:before="60"/>
              <w:ind/>
              <w:rPr/>
            </w:pPr>
            <w:r>
              <w:rPr>
                <w:rFonts w:ascii="Calibri" w:hAnsi="Calibri" w:eastAsia="Calibri" w:cs="Calibri"/>
                <w:b w:val="0"/>
                <w:bCs w:val="0"/>
                <w:color w:val="222222"/>
                <w:sz w:val="19"/>
                <w:szCs w:val="19"/>
              </w:rPr>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500"/>
        <w:gridCol w:w="5500"/>
      </w:tblGrid>
      <w:tr>
        <w:trPr>
          <w:tblHeader/>
        </w:trPr>
        <w:tc>
          <w:tcPr>
            <w:shd w:val="clear" w:color="auto" w:fill="1f3864"/>
            <w:tcBorders/>
            <w:tcMar>
              <w:left w:w="120" w:type="dxa"/>
              <w:top w:w="60" w:type="dxa"/>
              <w:right w:w="120" w:type="dxa"/>
              <w:bottom w:w="60" w:type="dxa"/>
            </w:tcMar>
            <w:tcW w:w="35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55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Données métagénomiques</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Séquençage de tout l'ADN d'un échantillon (tique, sol, sang...)</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Paired-end</w:t>
            </w:r>
            <w:r/>
          </w:p>
        </w:tc>
        <w:tc>
          <w:tcPr>
            <w:shd w:val="clear" w:color="auto" w:fill="f2f2f2"/>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Chaque fragment d'ADN est séquencé des deux côtés (R1 et R2)</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R1 / R2</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Les deux fichiers d'un séquençage paired-end — toujours utilisés ensemble</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SRA</w:t>
            </w:r>
            <w:r/>
          </w:p>
        </w:tc>
        <w:tc>
          <w:tcPr>
            <w:shd w:val="clear" w:color="auto" w:fill="f2f2f2"/>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Base de données publique de séquences brutes du NCBI</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prefetch / fastq-dump</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Outils pour télécharger des données depuis SRA</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1e6b3c"/>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1 — Contrôle qualité des données brutes</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Les d</w:t>
      </w:r>
      <w:r>
        <w:rPr>
          <w:rFonts w:ascii="Calibri" w:hAnsi="Calibri" w:eastAsia="Calibri" w:cs="Calibri"/>
          <w:sz w:val="21"/>
          <w:szCs w:val="21"/>
        </w:rPr>
        <w:t xml:space="preserve">onnées de séquençage ne sont jamais parfaites. Avant toute analyse, il faut évaluer la qualité des reads, supprimer les adaptateurs de séquençage et filtrer les reads de mauvaise qualité. C'est comme trier et nettoyer ses échantillons avant une expérience.</w:t>
      </w:r>
      <w:r/>
    </w:p>
    <w:p>
      <w:pPr>
        <w:pStyle w:val="880"/>
        <w:pBdr/>
        <w:spacing w:after="80" w:before="200"/>
        <w:ind/>
        <w:rPr/>
      </w:pPr>
      <w:r>
        <w:rPr>
          <w:rFonts w:ascii="Calibri" w:hAnsi="Calibri" w:eastAsia="Calibri" w:cs="Calibri"/>
          <w:b/>
          <w:bCs/>
          <w:color w:val="1f3864"/>
          <w:sz w:val="24"/>
          <w:szCs w:val="24"/>
        </w:rPr>
        <w:t xml:space="preserve">1.1 — Comprendre le format FASTQ</w:t>
      </w:r>
      <w:r/>
    </w:p>
    <w:p>
      <w:pPr>
        <w:pBdr/>
        <w:spacing w:after="100"/>
        <w:ind/>
        <w:rPr/>
      </w:pPr>
      <w:r>
        <w:rPr>
          <w:rFonts w:ascii="Calibri" w:hAnsi="Calibri" w:eastAsia="Calibri" w:cs="Calibri"/>
          <w:sz w:val="21"/>
          <w:szCs w:val="21"/>
        </w:rPr>
        <w:t xml:space="preserve">Chaque read dans un fichier FASTQ est représenté sur 4 lignes :</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@SRR123456.1 read1         → nom du read</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ATGCTAGCTAGCTAGCTAGC       → séquence nucléotidique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séparateur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IIIIIIIIIIIIIIIIIIII       → scores qualité Phred</w:t>
            </w:r>
            <w:r/>
          </w:p>
        </w:tc>
      </w:tr>
    </w:tbl>
    <w:p>
      <w:pPr>
        <w:pBdr/>
        <w:spacing w:after="8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3000"/>
        <w:gridCol w:w="3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Score Phred</w:t>
            </w:r>
            <w:r/>
          </w:p>
        </w:tc>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Probabilité d'erreur</w:t>
            </w:r>
            <w:r/>
          </w:p>
        </w:tc>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Précision</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10</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1 sur 10</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90%</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20</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1 sur 100</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99%</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30</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1 sur 1 000</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99,9%</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40</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1 sur 10 000</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99,99%</w:t>
            </w:r>
            <w:r/>
          </w:p>
        </w:tc>
      </w:tr>
    </w:tbl>
    <w:p>
      <w:pPr>
        <w:pBdr/>
        <w:spacing w:after="8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ff2cc"/>
            <w:tcBorders/>
            <w:tcMar>
              <w:left w:w="200" w:type="dxa"/>
              <w:top w:w="100" w:type="dxa"/>
              <w:right w:w="200" w:type="dxa"/>
              <w:bottom w:w="100" w:type="dxa"/>
            </w:tcMar>
          </w:tcPr>
          <w:p>
            <w:pPr>
              <w:pBdr/>
              <w:spacing w:after="60" w:before="60"/>
              <w:ind/>
              <w:rPr/>
            </w:pPr>
            <w:r>
              <w:rPr>
                <w:rFonts w:ascii="Calibri" w:hAnsi="Calibri" w:eastAsia="Calibri" w:cs="Calibri"/>
                <w:b/>
                <w:bCs/>
                <w:color w:val="b8860b"/>
                <w:sz w:val="20"/>
                <w:szCs w:val="20"/>
              </w:rPr>
              <w:t xml:space="preserve">💡 Règle</w:t>
            </w:r>
            <w:r/>
          </w:p>
          <w:p>
            <w:pPr>
              <w:pBdr/>
              <w:spacing w:after="40" w:before="20"/>
              <w:ind/>
              <w:rPr/>
            </w:pPr>
            <w:r>
              <w:rPr>
                <w:rFonts w:ascii="Calibri" w:hAnsi="Calibri" w:eastAsia="Calibri" w:cs="Calibri"/>
                <w:color w:val="333333"/>
                <w:sz w:val="19"/>
                <w:szCs w:val="19"/>
              </w:rPr>
              <w:t xml:space="preserve">On garde les bases avec un score Phred ≥ 20.</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1.2 — FastQC : évaluer la qualité brute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cd projet_borrelia/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Lancer FastQC sur les deux fichiers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fastqc data/raw/sample_R1.fastq.gz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data/raw/sample_R2.fastq.gz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qc/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 8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--quiet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Ouvrir le rapport HTML</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xdg-open qc/sample_R1_fastqc.html</w:t>
            </w:r>
            <w:r/>
          </w:p>
        </w:tc>
      </w:tr>
    </w:tbl>
    <w:p>
      <w:pPr>
        <w:pBdr/>
        <w:spacing w:after="8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3000"/>
        <w:gridCol w:w="3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Module FastQC</w:t>
            </w:r>
            <w:r/>
          </w:p>
        </w:tc>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Bon résultat</w:t>
            </w:r>
            <w:r/>
          </w:p>
        </w:tc>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Mauvais résultat</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Per base sequence quality</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Vert (scores &gt; 28)</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Rouge (scores &lt; 20)</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Per sequence quality scores</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Pic vers droite (&gt; 30)</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Pic vers gauche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Adapter content</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Pas d'adaptateurs</w:t>
            </w:r>
            <w:r/>
          </w:p>
        </w:tc>
        <w:tc>
          <w:tcPr>
            <w:shd w:val="clear" w:color="auto" w:fill="ffffff"/>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Pics en fin de read</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Per base N content</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&lt; 5% de N</w:t>
            </w:r>
            <w:r/>
          </w:p>
        </w:tc>
        <w:tc>
          <w:tcPr>
            <w:shd w:val="clear" w:color="auto" w:fill="f2f2f2"/>
            <w:tcBorders/>
            <w:tcMar>
              <w:left w:w="120" w:type="dxa"/>
              <w:top w:w="60" w:type="dxa"/>
              <w:right w:w="120" w:type="dxa"/>
              <w:bottom w:w="60" w:type="dxa"/>
            </w:tcMar>
            <w:tcW w:w="3000" w:type="dxa"/>
          </w:tcPr>
          <w:p>
            <w:pPr>
              <w:pBdr/>
              <w:spacing w:after="60" w:before="60"/>
              <w:ind/>
              <w:rPr/>
            </w:pPr>
            <w:r>
              <w:rPr>
                <w:rFonts w:ascii="Calibri" w:hAnsi="Calibri" w:eastAsia="Calibri" w:cs="Calibri"/>
                <w:b w:val="0"/>
                <w:bCs w:val="0"/>
                <w:color w:val="222222"/>
                <w:sz w:val="19"/>
                <w:szCs w:val="19"/>
              </w:rPr>
              <w:t xml:space="preserve">Beaucoup de N</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1.3 — Fastp : nettoyage des reads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fastp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 data/raw/sample_R1.fastq.gz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 data/raw/sample_R2.fastq.gz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data/clean/sample_R1_clean.fastq.gz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data/clean/sample_R2_clean.fastq.gz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--html qc/sample_fastp_report.html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--json qc/sample_fastp_report.json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--thread 8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--qualified_quality_phred 20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--length_required 50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--detect_adapter_for_pe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--correction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Paramètres expliqués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--qualified_quality_phred 20  → supprimer bases avec score &lt; 20</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--length_required 50          → supprimer reads &lt; 50 bases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--detect_adapter_for_pe       → détection automatique des adaptateurs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--correction                  → corriger erreurs sur chevauchement paired-end</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1.4 — MultiQC : rapport global</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Agréger tous les rapports en un seul</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multiqc qc/ -o qc/multiqc_report/ --quiet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Ouvrir le rapport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xdg-open qc/multiqc_report/multiqc_report.html</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Exercice pratique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Comparer le nombre de reads avant/après nettoyage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 Avant nettoyage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zcat data/raw/sample_R1.fastq.gz | wc -l | awk '{print $1/4, "reads"}'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 Après nettoyage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zcat data/clean/sample_R1_clean.fastq.gz | wc -l | awk '{print $1/4, "reads"}'</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FASTQ</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Format qui contient les reads et leur qualité</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Score Phred</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Note de confiance de chaque base séquencée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FastQC</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Examine la qualité des données brutes</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Fastp</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Nettoie et filtre les reads de mauvaise qualité</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MultiQC</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Rapport global de tous les échantillons</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c55a11"/>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2 — Classification taxonomique et extraction des reads Borrelia</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Les données métagénomiques contiennent des reads de milliers d'organismes différents. Il faut extraire uniquement les reads appartenant à Borrelia. C'est comme chercher une aiguille dans une botte de foin.</w:t>
      </w:r>
      <w:r/>
    </w:p>
    <w:p>
      <w:pPr>
        <w:pStyle w:val="880"/>
        <w:pBdr/>
        <w:spacing w:after="80" w:before="200"/>
        <w:ind/>
        <w:rPr/>
      </w:pPr>
      <w:r>
        <w:rPr>
          <w:rFonts w:ascii="Calibri" w:hAnsi="Calibri" w:eastAsia="Calibri" w:cs="Calibri"/>
          <w:b/>
          <w:bCs/>
          <w:color w:val="1f3864"/>
          <w:sz w:val="24"/>
          <w:szCs w:val="24"/>
        </w:rPr>
        <w:t xml:space="preserve">2.1 — Comprendre Kraken2</w:t>
      </w:r>
      <w:r/>
    </w:p>
    <w:p>
      <w:pPr>
        <w:pBdr/>
        <w:spacing w:after="100"/>
        <w:ind/>
        <w:rPr/>
      </w:pPr>
      <w:r>
        <w:rPr>
          <w:rFonts w:ascii="Calibri" w:hAnsi="Calibri" w:eastAsia="Calibri" w:cs="Calibri"/>
          <w:sz w:val="21"/>
          <w:szCs w:val="21"/>
        </w:rPr>
        <w:t xml:space="preserve">Kraken2 fonctionne par k-mers : il découpe chaque read en petits fragments de k nucléotides (k=31 par défaut) et les compare à une base de données pour identifier l'organisme d'origine.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Read : ATGCTAGCTAGCTAGCTAGCTAGCT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K-mers (k=5)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ATGCT → Borrelia burgdorferi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TGCTA → Borrelia burgdorferi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GCTAG → Borrelia afzelii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CTAGC → Non classifié</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Résultat : ce read appartient au genre Borrelia (TaxID=138)</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2.2 — Préparer la base de données Kraken2</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Option 1 : télécharger la base standard (16 Go)</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kraken2-build --standard --db data/reference/kraken2_db --threads 8</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Option 2 : la base est déjà sur le serveur (demander au responsable)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ls /path/to/kraken2_db/</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Tu dois voir : hash.k2d  opts.k2d  taxo.k2d</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2.3 — Lancer la classification Kraken2</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kraken2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--db data/reference/kraken2_db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--paired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data/clean/sample_R1_clean.fastq.gz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data/clean/sample_R2_clean.fastq.gz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--output kraken/sample_kraken_output.txt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--report kraken/sample_kraken_report.txt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--threads 8</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Afficher le rapport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head -20 kraken/sample_kraken_report.txt</w:t>
            </w:r>
            <w:r/>
          </w:p>
        </w:tc>
      </w:tr>
    </w:tbl>
    <w:p>
      <w:pPr>
        <w:pBdr/>
        <w:spacing w:after="80"/>
        <w:ind/>
        <w:rPr/>
      </w:pPr>
      <w:r/>
      <w:r/>
    </w:p>
    <w:p>
      <w:pPr>
        <w:pBdr/>
        <w:spacing w:after="100"/>
        <w:ind/>
        <w:rPr/>
      </w:pPr>
      <w:r>
        <w:rPr>
          <w:rFonts w:ascii="Calibri" w:hAnsi="Calibri" w:eastAsia="Calibri" w:cs="Calibri"/>
          <w:sz w:val="21"/>
          <w:szCs w:val="21"/>
        </w:rPr>
        <w:t xml:space="preserve">Comprendre le rapport Kraken2 :</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Colonnes du rapport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1. % reads dans ce taxon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2. Reads couverts (taxon + descendants)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3. Reads directement assignés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4. Rang (D=domaine, G=genre, S=espèce)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5. TaxID NCBI</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6. Nom scientifique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75.23  1504600  1504600  U  0    unclassified</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24.77   495400    1200   D  2    Bacteria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0.45     9000    9000   G  138  Borrelia       ← on cherche ça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0.23     4600    4600   S  139  Borrelia burgdorferi</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2.4 — Estimer l'abondance avec Bracken</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bracken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 data/reference/kraken2_db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 kraken/sample_kraken_report.txt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kraken/sample_bracken_output.txt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 150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 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 10</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 150 : longueur des reads (adapter si différent)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 S   : niveau espèce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 10  : minimum 10 reads pour inclure une espèce</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2.5 — Extraire les reads Borrelia</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TaxID 138 = genre 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--include-children = inclure toutes les espèces du genre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extract_kraken_reads.py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-k kraken/sample_kraken_output.txt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 kraken/sample_kraken_report.txt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-s1 data/clean/sample_R1_clean.fastq.gz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-s2 data/clean/sample_R2_clean.fastq.gz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kraken/borrelia_R1.fastq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-o2 kraken/borrelia_R2.fastq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--taxid 138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--include-children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Compter les reads extraits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"Reads R1 extraits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cat kraken/borrelia_R1.fastq | wc -l | awk '{print $1/4}'</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Exercice pratique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Calculer le % de reads Borrelia dans l'échantillon total</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TOTAL=$(zcat data/clean/sample_R1_clean.fastq.gz | wc -l | awk '{print $1/4}')</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BORRELIA=$(cat kraken/borrelia_R1.fastq | wc -l | awk '{print $1/4}')</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"Total reads    : $TOTAL"</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"Reads Borrelia : $BORRELIA"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echo "Pourcentage    : $(echo "scale=4; $BORRELIA/$TOTAL*100" | bc) %"</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Métagénomique</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Mélange d'ADN de tous les organismes d'un échantillon</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K-mer</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Petit fragment de séquence pour identifier un organisme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TaxID</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Numéro d'identité unique de chaque espèce dans NCBI</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Kraken2</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Trie les reads par organisme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KrakenTools</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Extrait les reads d'un organisme spécifique</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5b2c6f"/>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3 — Téléchargement du génome de référence</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Pour aligner les reads Borrelia extraits, il faut un génome de référence — la séquence complète d'une souche Borrelia bien connue qui servira de modèle de comparaison.</w:t>
      </w:r>
      <w:r/>
    </w:p>
    <w:p>
      <w:pPr>
        <w:pStyle w:val="880"/>
        <w:pBdr/>
        <w:spacing w:after="80" w:before="200"/>
        <w:ind/>
        <w:rPr/>
      </w:pPr>
      <w:r>
        <w:rPr>
          <w:rFonts w:ascii="Calibri" w:hAnsi="Calibri" w:eastAsia="Calibri" w:cs="Calibri"/>
          <w:b/>
          <w:bCs/>
          <w:color w:val="1f3864"/>
          <w:sz w:val="24"/>
          <w:szCs w:val="24"/>
        </w:rPr>
        <w:t xml:space="preserve">3.1 — Choisir le génome de référence</w:t>
      </w:r>
      <w:r/>
    </w:p>
    <w:p>
      <w:pPr>
        <w:pBdr/>
        <w:spacing w:after="100"/>
        <w:ind/>
        <w:rPr/>
      </w:pPr>
      <w:r>
        <w:rPr>
          <w:rFonts w:ascii="Calibri" w:hAnsi="Calibri" w:eastAsia="Calibri" w:cs="Calibri"/>
          <w:sz w:val="21"/>
          <w:szCs w:val="21"/>
        </w:rPr>
        <w:t xml:space="preserve">La souche de référence la plus utilisée est Borrelia burgdorferi B31, le premier génome Borrelia complètement séquencé.</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mkdir -p data/reference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Télécharger B. burgdorferi B31 depuis NCBI</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Numéro d'accession : GCF_000008685.2</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wget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"https://ftp.ncbi.nlm.nih.gov/genomes/all/GCF/000/008/685/\</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GCF_000008685.2_ASM868v2/GCF_000008685.2_ASM868v2_genomic.fna.gz"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data/reference/borrelia_ref.fna.gz</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Décompresser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gunzip data/reference/borrelia_ref.fna.gz</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le contenu</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grep "&gt;" data/reference/borrelia_ref.fna</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3.2 — Indexer le génome de référence</w:t>
      </w:r>
      <w:r/>
    </w:p>
    <w:p>
      <w:pPr>
        <w:pBdr/>
        <w:spacing w:after="100"/>
        <w:ind/>
        <w:rPr/>
      </w:pPr>
      <w:r>
        <w:rPr>
          <w:rFonts w:ascii="Calibri" w:hAnsi="Calibri" w:eastAsia="Calibri" w:cs="Calibri"/>
          <w:sz w:val="21"/>
          <w:szCs w:val="21"/>
        </w:rPr>
        <w:t xml:space="preserve">Avant d'aligner, BWA doit construire un index — comme créer un index à la fin d'un livre pour retrouver rapidement une information.</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Indexation BWA (une seule fois par référence)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bwa index data/reference/borrelia_ref.fna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Indexation Samtools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faidx data/reference/borrelia_ref.fna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les fichiers générés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ls data/reference/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borrelia_ref.fna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borrelia_ref.fna.bwt   ← index BWA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borrelia_ref.fna.fai   ← index Samtools</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500"/>
        <w:gridCol w:w="5500"/>
      </w:tblGrid>
      <w:tr>
        <w:trPr>
          <w:tblHeader/>
        </w:trPr>
        <w:tc>
          <w:tcPr>
            <w:shd w:val="clear" w:color="auto" w:fill="1f3864"/>
            <w:tcBorders/>
            <w:tcMar>
              <w:left w:w="120" w:type="dxa"/>
              <w:top w:w="60" w:type="dxa"/>
              <w:right w:w="120" w:type="dxa"/>
              <w:bottom w:w="60" w:type="dxa"/>
            </w:tcMar>
            <w:tcW w:w="35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55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Génome de référence</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Carte sur laquelle on va positionner nos reads</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Numéro d'accession</w:t>
            </w:r>
            <w:r/>
          </w:p>
        </w:tc>
        <w:tc>
          <w:tcPr>
            <w:shd w:val="clear" w:color="auto" w:fill="f2f2f2"/>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Identifiant unique d'une séquence dans NCBI</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Index BWA</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Table des matières du génome pour accélérer l'alignement</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1e6b3c"/>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4 — Alignement sur le génome de référence</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On va positionner chaque read Borrelia à l'endroit du génome dont il provient. C'est comme reconstituer un puzzle : les reads sont les pièces, le génome de référence est l'image finale.</w:t>
      </w:r>
      <w:r/>
    </w:p>
    <w:p>
      <w:pPr>
        <w:pStyle w:val="880"/>
        <w:pBdr/>
        <w:spacing w:after="80" w:before="200"/>
        <w:ind/>
        <w:rPr/>
      </w:pPr>
      <w:r>
        <w:rPr>
          <w:rFonts w:ascii="Calibri" w:hAnsi="Calibri" w:eastAsia="Calibri" w:cs="Calibri"/>
          <w:b/>
          <w:bCs/>
          <w:color w:val="1f3864"/>
          <w:sz w:val="24"/>
          <w:szCs w:val="24"/>
        </w:rPr>
        <w:t xml:space="preserve">4.1 — Lancer l'alignement BWA mem</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bwa mem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 8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 "@RG\tID:sample\tSM:sample\tPL:ILLUMINA"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data/reference/borrelia_ref.fna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kraken/borrelia_R1.fastq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kraken/borrelia_R2.fastq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samtools sort -@ 8 -o mapping/borrelia_aligned.bam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Indexer le 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index mapping/borrelia_aligned.bam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ls mapping/</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borrelia_aligned.bam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borrelia_aligned.bam.bai  ← index du BAM</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4.2 — Comprendre le format BAM/SAM</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Voir les premières lignes en format lisible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view -h mapping/borrelia_aligned.bam | head -20</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Colonnes importantes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 1 : nom du read</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 2 : FLAG (informations sur l'alignement)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 3 : chromosome/contig de référence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 4 : position de début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 5 : MAPQ (qualité, &gt; 20 = bon)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 6 : CIGAR (description de l'alignement)</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4.3 — Calculer les statistiques d'alignement</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Statistiques générales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flagstat mapping/borrelia_aligned.bam &gt; mapping/flagstat.txt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cat mapping/flagstat.txt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Couverture par contig</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coverage mapping/borrelia_aligned.bam &gt; mapping/coverage.txt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Profondeur base par base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depth -a mapping/borrelia_aligned.bam &gt; mapping/depth.txt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Filtrer les reads bien mappés (MAPQ &gt;= 20)</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view -b -q 20 -F 4 mapping/borrelia_aligned.bam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mapping/borrelia_mapped_filtered.bam</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samtools index mapping/borrelia_mapped_filtered.bam</w:t>
            </w:r>
            <w:r/>
          </w:p>
        </w:tc>
      </w:tr>
    </w:tbl>
    <w:p>
      <w:pPr>
        <w:pBdr/>
        <w:spacing w:after="80"/>
        <w:ind/>
        <w:rPr/>
      </w:pPr>
      <w:r/>
      <w:r/>
    </w:p>
    <w:p>
      <w:pPr>
        <w:pBdr/>
        <w:spacing w:after="100"/>
        <w:ind/>
        <w:rPr/>
      </w:pPr>
      <w:r>
        <w:rPr>
          <w:rFonts w:ascii="Calibri" w:hAnsi="Calibri" w:eastAsia="Calibri" w:cs="Calibri"/>
          <w:sz w:val="21"/>
          <w:szCs w:val="21"/>
        </w:rPr>
        <w:t xml:space="preserve">Comprendre flagstat :</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2000 + 0 in total</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1850 + 0 mapped (92.5%)    ← on veut &gt; 70%</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1800 + 0 properly paired   ← paires correctement alignées</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4.4 — Exercice pratique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Calculer la profondeur moyenne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awk '{sum+=$3; count++} END {print "Profondeur moyenne:", sum/count, "x"}'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mapping/depth.txt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Calculer le % du génome couvert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awk '{if($3&gt;0) covered++; total++} END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{print "Génome couvert:", covered/total*100, "%"}'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mapping/depth.txt</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Alignement</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Positionner chaque read sur le génome de référence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BAM/SAM</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Format de fichier qui stocke les alignements</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MAPQ</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Score de confiance de la position d'un read (&gt; 20 = fiable)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Couverture</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Nombre de reads qui couvrent chaque position du génome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IGV</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Logiciel pour visualiser les alignements</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c55a11"/>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5 — Appel de variants et génome consensus</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On va identifier les différences entre notre souche Borrelia et le génome de référence, puis générer une séquence consensus qui représente le génome de notre souche.</w:t>
      </w:r>
      <w:r/>
    </w:p>
    <w:p>
      <w:pPr>
        <w:pStyle w:val="880"/>
        <w:pBdr/>
        <w:spacing w:after="80" w:before="200"/>
        <w:ind/>
        <w:rPr/>
      </w:pPr>
      <w:r>
        <w:rPr>
          <w:rFonts w:ascii="Calibri" w:hAnsi="Calibri" w:eastAsia="Calibri" w:cs="Calibri"/>
          <w:b/>
          <w:bCs/>
          <w:color w:val="1f3864"/>
          <w:sz w:val="24"/>
          <w:szCs w:val="24"/>
        </w:rPr>
        <w:t xml:space="preserve">5.1 — Comprendre un variant</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Référence   : ATGCTAGCTAGCT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Nos reads   : ATGCTAGCAAGCT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SNP : T → A à la position 9</w:t>
            </w:r>
            <w:r/>
          </w:p>
        </w:tc>
      </w:tr>
    </w:tbl>
    <w:p>
      <w:pPr>
        <w:pBdr/>
        <w:spacing w:after="60"/>
        <w:ind/>
        <w:rPr/>
      </w:pPr>
      <w:r/>
      <w:r/>
    </w:p>
    <w:p>
      <w:pPr>
        <w:pBdr/>
        <w:spacing w:after="100"/>
        <w:ind/>
        <w:rPr/>
      </w:pPr>
      <w:r>
        <w:rPr>
          <w:rFonts w:ascii="Calibri" w:hAnsi="Calibri" w:eastAsia="Calibri" w:cs="Calibri"/>
          <w:sz w:val="21"/>
          <w:szCs w:val="21"/>
        </w:rPr>
        <w:t xml:space="preserve">Les variants sont stockés dans un fichier VCF (Variant Call Format).</w:t>
      </w:r>
      <w:r/>
    </w:p>
    <w:p>
      <w:pPr>
        <w:pStyle w:val="880"/>
        <w:pBdr/>
        <w:spacing w:after="80" w:before="200"/>
        <w:ind/>
        <w:rPr/>
      </w:pPr>
      <w:r>
        <w:rPr>
          <w:rFonts w:ascii="Calibri" w:hAnsi="Calibri" w:eastAsia="Calibri" w:cs="Calibri"/>
          <w:b/>
          <w:bCs/>
          <w:color w:val="1f3864"/>
          <w:sz w:val="24"/>
          <w:szCs w:val="24"/>
        </w:rPr>
        <w:t xml:space="preserve">5.2 — Appel de variants avec bcftools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Étape 1 : calculer les probabilités de variants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bcftools mpileup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-f data/reference/borrelia_ref.fna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--min-MQ 20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--min-BQ 20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mapping/borrelia_mapped_filtered.bam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variants/raw_pileup.bcf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Étape 2 : appeler les variants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bcftools call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-mv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--output-type v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variants/raw_pileup.bcf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 variants/variants_raw.vcf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  → mode multiallélique (recommandé)</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  → ne garder que les variants</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5.3 — Comprendre le format VCF</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Voir le contenu du VCF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grep -v "^##" variants/variants_raw.vcf | head -10</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Colonnes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CHROM   POS    ID   REF  ALT  QUAL  FILTER  INFO</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chr1    1025   .    T    A    145   .       DP=45;...</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variant  qualité</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5.4 — Filtrer et générer le consensus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Filtrer les variants fiables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bcftools filter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-e 'QUAL&lt;20 || DP&lt;10'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variants/variants_raw.vcf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variants/variants_filtered.vcf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Compresser et indexer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bgzip variants/variants_filtered.vcf</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tabix variants/variants_filtered.vcf.gz</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Statistiques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bcftools stats variants/variants_filtered.vcf.gz | grep "^SN"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Générer le génome consensus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bcftools consensus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-f data/reference/borrelia_ref.fna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variants/variants_filtered.vcf.gz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variants/consensus.fasta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Renommer la séquence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sed -i 's/&gt;.*/&gt;Borrelia_echantillon/' variants/consensus.fasta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head -2 variants/consensus.fasta</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Variant / SNP</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Position où notre séquence diffère de la référence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VCF</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Format listant tous les variants trouvés</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QUAL</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Score de confiance d'un variant (&gt; 20 = fiable)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DP</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Nombre de reads couvrant une position (&gt; 10 = fiable)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Consensus</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Séquence finale de notre souche Borrelia</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5b2c6f"/>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6 — Préparation des séquences pour la phylogénie</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Pour construire un arbre phylogénétique, on a besoin de plusieurs séquences de souches Borrelia connues à télécharger sur NCBI, à combiner avec notre séquence consensus.</w:t>
      </w:r>
      <w:r/>
    </w:p>
    <w:p>
      <w:pPr>
        <w:pStyle w:val="880"/>
        <w:pBdr/>
        <w:spacing w:after="80" w:before="200"/>
        <w:ind/>
        <w:rPr/>
      </w:pPr>
      <w:r>
        <w:rPr>
          <w:rFonts w:ascii="Calibri" w:hAnsi="Calibri" w:eastAsia="Calibri" w:cs="Calibri"/>
          <w:b/>
          <w:bCs/>
          <w:color w:val="1f3864"/>
          <w:sz w:val="24"/>
          <w:szCs w:val="24"/>
        </w:rPr>
        <w:t xml:space="preserve">6.1 — Télécharger les séquences de référence</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500"/>
        <w:gridCol w:w="2000"/>
        <w:gridCol w:w="4500"/>
      </w:tblGrid>
      <w:tr>
        <w:trPr>
          <w:tblHeader/>
        </w:trPr>
        <w:tc>
          <w:tcPr>
            <w:shd w:val="clear" w:color="auto" w:fill="1f3864"/>
            <w:tcBorders/>
            <w:tcMar>
              <w:left w:w="120" w:type="dxa"/>
              <w:top w:w="60" w:type="dxa"/>
              <w:right w:w="120" w:type="dxa"/>
              <w:bottom w:w="60" w:type="dxa"/>
            </w:tcMar>
            <w:tcW w:w="2500" w:type="dxa"/>
            <w:vAlign w:val="center"/>
          </w:tcPr>
          <w:p>
            <w:pPr>
              <w:pBdr/>
              <w:spacing w:after="80" w:before="80"/>
              <w:ind/>
              <w:jc w:val="center"/>
              <w:rPr/>
            </w:pPr>
            <w:r>
              <w:rPr>
                <w:rFonts w:ascii="Calibri" w:hAnsi="Calibri" w:eastAsia="Calibri" w:cs="Calibri"/>
                <w:b/>
                <w:bCs/>
                <w:color w:val="ffffff"/>
                <w:sz w:val="19"/>
                <w:szCs w:val="19"/>
              </w:rPr>
              <w:t xml:space="preserve">Souche</w:t>
            </w:r>
            <w:r/>
          </w:p>
        </w:tc>
        <w:tc>
          <w:tcPr>
            <w:shd w:val="clear" w:color="auto" w:fill="1f3864"/>
            <w:tcBorders/>
            <w:tcMar>
              <w:left w:w="120" w:type="dxa"/>
              <w:top w:w="60" w:type="dxa"/>
              <w:right w:w="120" w:type="dxa"/>
              <w:bottom w:w="60" w:type="dxa"/>
            </w:tcMar>
            <w:tcW w:w="2000" w:type="dxa"/>
            <w:vAlign w:val="center"/>
          </w:tcPr>
          <w:p>
            <w:pPr>
              <w:pBdr/>
              <w:spacing w:after="80" w:before="80"/>
              <w:ind/>
              <w:jc w:val="center"/>
              <w:rPr/>
            </w:pPr>
            <w:r>
              <w:rPr>
                <w:rFonts w:ascii="Calibri" w:hAnsi="Calibri" w:eastAsia="Calibri" w:cs="Calibri"/>
                <w:b/>
                <w:bCs/>
                <w:color w:val="ffffff"/>
                <w:sz w:val="19"/>
                <w:szCs w:val="19"/>
              </w:rPr>
              <w:t xml:space="preserve">Numéro d'accession</w:t>
            </w:r>
            <w:r/>
          </w:p>
        </w:tc>
        <w:tc>
          <w:tcPr>
            <w:shd w:val="clear" w:color="auto" w:fill="1f3864"/>
            <w:tcBorders/>
            <w:tcMar>
              <w:left w:w="120" w:type="dxa"/>
              <w:top w:w="60" w:type="dxa"/>
              <w:right w:w="120" w:type="dxa"/>
              <w:bottom w:w="60" w:type="dxa"/>
            </w:tcMar>
            <w:tcW w:w="4500" w:type="dxa"/>
            <w:vAlign w:val="center"/>
          </w:tcPr>
          <w:p>
            <w:pPr>
              <w:pBdr/>
              <w:spacing w:after="80" w:before="80"/>
              <w:ind/>
              <w:jc w:val="center"/>
              <w:rPr/>
            </w:pPr>
            <w:r>
              <w:rPr>
                <w:rFonts w:ascii="Calibri" w:hAnsi="Calibri" w:eastAsia="Calibri" w:cs="Calibri"/>
                <w:b/>
                <w:bCs/>
                <w:color w:val="ffffff"/>
                <w:sz w:val="19"/>
                <w:szCs w:val="19"/>
              </w:rPr>
              <w:t xml:space="preserve">Intérêt</w:t>
            </w:r>
            <w:r/>
          </w:p>
        </w:tc>
      </w:tr>
      <w:tr>
        <w:trPr/>
        <w:tc>
          <w:tcPr>
            <w:shd w:val="clear" w:color="auto" w:fill="d6e4f0"/>
            <w:tcBorders/>
            <w:tcMar>
              <w:left w:w="120" w:type="dxa"/>
              <w:top w:w="60" w:type="dxa"/>
              <w:right w:w="120" w:type="dxa"/>
              <w:bottom w:w="60" w:type="dxa"/>
            </w:tcMar>
            <w:tcW w:w="2500" w:type="dxa"/>
          </w:tcPr>
          <w:p>
            <w:pPr>
              <w:pBdr/>
              <w:spacing w:after="60" w:before="60"/>
              <w:ind/>
              <w:rPr/>
            </w:pPr>
            <w:r>
              <w:rPr>
                <w:rFonts w:ascii="Calibri" w:hAnsi="Calibri" w:eastAsia="Calibri" w:cs="Calibri"/>
                <w:b/>
                <w:bCs/>
                <w:color w:val="1f3864"/>
                <w:sz w:val="19"/>
                <w:szCs w:val="19"/>
              </w:rPr>
              <w:t xml:space="preserve">B. burgdorferi B31</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NC_001318</w:t>
            </w:r>
            <w:r/>
          </w:p>
        </w:tc>
        <w:tc>
          <w:tcPr>
            <w:shd w:val="clear" w:color="auto" w:fill="ffffff"/>
            <w:tcBorders/>
            <w:tcMar>
              <w:left w:w="120" w:type="dxa"/>
              <w:top w:w="60" w:type="dxa"/>
              <w:right w:w="120" w:type="dxa"/>
              <w:bottom w:w="60" w:type="dxa"/>
            </w:tcMar>
            <w:tcW w:w="4500" w:type="dxa"/>
          </w:tcPr>
          <w:p>
            <w:pPr>
              <w:pBdr/>
              <w:spacing w:after="60" w:before="60"/>
              <w:ind/>
              <w:rPr/>
            </w:pPr>
            <w:r>
              <w:rPr>
                <w:rFonts w:ascii="Calibri" w:hAnsi="Calibri" w:eastAsia="Calibri" w:cs="Calibri"/>
                <w:b w:val="0"/>
                <w:bCs w:val="0"/>
                <w:color w:val="222222"/>
                <w:sz w:val="19"/>
                <w:szCs w:val="19"/>
              </w:rPr>
              <w:t xml:space="preserve">Référence principale, Lyme disease</w:t>
            </w:r>
            <w:r/>
          </w:p>
        </w:tc>
      </w:tr>
      <w:tr>
        <w:trPr/>
        <w:tc>
          <w:tcPr>
            <w:shd w:val="clear" w:color="auto" w:fill="d6e4f0"/>
            <w:tcBorders/>
            <w:tcMar>
              <w:left w:w="120" w:type="dxa"/>
              <w:top w:w="60" w:type="dxa"/>
              <w:right w:w="120" w:type="dxa"/>
              <w:bottom w:w="60" w:type="dxa"/>
            </w:tcMar>
            <w:tcW w:w="2500" w:type="dxa"/>
          </w:tcPr>
          <w:p>
            <w:pPr>
              <w:pBdr/>
              <w:spacing w:after="60" w:before="60"/>
              <w:ind/>
              <w:rPr/>
            </w:pPr>
            <w:r>
              <w:rPr>
                <w:rFonts w:ascii="Calibri" w:hAnsi="Calibri" w:eastAsia="Calibri" w:cs="Calibri"/>
                <w:b/>
                <w:bCs/>
                <w:color w:val="1f3864"/>
                <w:sz w:val="19"/>
                <w:szCs w:val="19"/>
              </w:rPr>
              <w:t xml:space="preserve">B. afzelii PKo</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NC_008277</w:t>
            </w:r>
            <w:r/>
          </w:p>
        </w:tc>
        <w:tc>
          <w:tcPr>
            <w:shd w:val="clear" w:color="auto" w:fill="f2f2f2"/>
            <w:tcBorders/>
            <w:tcMar>
              <w:left w:w="120" w:type="dxa"/>
              <w:top w:w="60" w:type="dxa"/>
              <w:right w:w="120" w:type="dxa"/>
              <w:bottom w:w="60" w:type="dxa"/>
            </w:tcMar>
            <w:tcW w:w="4500" w:type="dxa"/>
          </w:tcPr>
          <w:p>
            <w:pPr>
              <w:pBdr/>
              <w:spacing w:after="60" w:before="60"/>
              <w:ind/>
              <w:rPr/>
            </w:pPr>
            <w:r>
              <w:rPr>
                <w:rFonts w:ascii="Calibri" w:hAnsi="Calibri" w:eastAsia="Calibri" w:cs="Calibri"/>
                <w:b w:val="0"/>
                <w:bCs w:val="0"/>
                <w:color w:val="222222"/>
                <w:sz w:val="19"/>
                <w:szCs w:val="19"/>
              </w:rPr>
              <w:t xml:space="preserve">Europe, Lyme disease</w:t>
            </w:r>
            <w:r/>
          </w:p>
        </w:tc>
      </w:tr>
      <w:tr>
        <w:trPr/>
        <w:tc>
          <w:tcPr>
            <w:shd w:val="clear" w:color="auto" w:fill="d6e4f0"/>
            <w:tcBorders/>
            <w:tcMar>
              <w:left w:w="120" w:type="dxa"/>
              <w:top w:w="60" w:type="dxa"/>
              <w:right w:w="120" w:type="dxa"/>
              <w:bottom w:w="60" w:type="dxa"/>
            </w:tcMar>
            <w:tcW w:w="2500" w:type="dxa"/>
          </w:tcPr>
          <w:p>
            <w:pPr>
              <w:pBdr/>
              <w:spacing w:after="60" w:before="60"/>
              <w:ind/>
              <w:rPr/>
            </w:pPr>
            <w:r>
              <w:rPr>
                <w:rFonts w:ascii="Calibri" w:hAnsi="Calibri" w:eastAsia="Calibri" w:cs="Calibri"/>
                <w:b/>
                <w:bCs/>
                <w:color w:val="1f3864"/>
                <w:sz w:val="19"/>
                <w:szCs w:val="19"/>
              </w:rPr>
              <w:t xml:space="preserve">B. garinii PBi</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NC_011244</w:t>
            </w:r>
            <w:r/>
          </w:p>
        </w:tc>
        <w:tc>
          <w:tcPr>
            <w:shd w:val="clear" w:color="auto" w:fill="ffffff"/>
            <w:tcBorders/>
            <w:tcMar>
              <w:left w:w="120" w:type="dxa"/>
              <w:top w:w="60" w:type="dxa"/>
              <w:right w:w="120" w:type="dxa"/>
              <w:bottom w:w="60" w:type="dxa"/>
            </w:tcMar>
            <w:tcW w:w="4500" w:type="dxa"/>
          </w:tcPr>
          <w:p>
            <w:pPr>
              <w:pBdr/>
              <w:spacing w:after="60" w:before="60"/>
              <w:ind/>
              <w:rPr/>
            </w:pPr>
            <w:r>
              <w:rPr>
                <w:rFonts w:ascii="Calibri" w:hAnsi="Calibri" w:eastAsia="Calibri" w:cs="Calibri"/>
                <w:b w:val="0"/>
                <w:bCs w:val="0"/>
                <w:color w:val="222222"/>
                <w:sz w:val="19"/>
                <w:szCs w:val="19"/>
              </w:rPr>
              <w:t xml:space="preserve">Europe/Asie, Lyme disease</w:t>
            </w:r>
            <w:r/>
          </w:p>
        </w:tc>
      </w:tr>
      <w:tr>
        <w:trPr/>
        <w:tc>
          <w:tcPr>
            <w:shd w:val="clear" w:color="auto" w:fill="d6e4f0"/>
            <w:tcBorders/>
            <w:tcMar>
              <w:left w:w="120" w:type="dxa"/>
              <w:top w:w="60" w:type="dxa"/>
              <w:right w:w="120" w:type="dxa"/>
              <w:bottom w:w="60" w:type="dxa"/>
            </w:tcMar>
            <w:tcW w:w="2500" w:type="dxa"/>
          </w:tcPr>
          <w:p>
            <w:pPr>
              <w:pBdr/>
              <w:spacing w:after="60" w:before="60"/>
              <w:ind/>
              <w:rPr/>
            </w:pPr>
            <w:r>
              <w:rPr>
                <w:rFonts w:ascii="Calibri" w:hAnsi="Calibri" w:eastAsia="Calibri" w:cs="Calibri"/>
                <w:b/>
                <w:bCs/>
                <w:color w:val="1f3864"/>
                <w:sz w:val="19"/>
                <w:szCs w:val="19"/>
              </w:rPr>
              <w:t xml:space="preserve">B. hermsii HS1</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NC_011395</w:t>
            </w:r>
            <w:r/>
          </w:p>
        </w:tc>
        <w:tc>
          <w:tcPr>
            <w:shd w:val="clear" w:color="auto" w:fill="f2f2f2"/>
            <w:tcBorders/>
            <w:tcMar>
              <w:left w:w="120" w:type="dxa"/>
              <w:top w:w="60" w:type="dxa"/>
              <w:right w:w="120" w:type="dxa"/>
              <w:bottom w:w="60" w:type="dxa"/>
            </w:tcMar>
            <w:tcW w:w="4500" w:type="dxa"/>
          </w:tcPr>
          <w:p>
            <w:pPr>
              <w:pBdr/>
              <w:spacing w:after="60" w:before="60"/>
              <w:ind/>
              <w:rPr/>
            </w:pPr>
            <w:r>
              <w:rPr>
                <w:rFonts w:ascii="Calibri" w:hAnsi="Calibri" w:eastAsia="Calibri" w:cs="Calibri"/>
                <w:b w:val="0"/>
                <w:bCs w:val="0"/>
                <w:color w:val="222222"/>
                <w:sz w:val="19"/>
                <w:szCs w:val="19"/>
              </w:rPr>
              <w:t xml:space="preserve">Fièvre récurrente à tiques</w:t>
            </w:r>
            <w:r/>
          </w:p>
        </w:tc>
      </w:tr>
      <w:tr>
        <w:trPr/>
        <w:tc>
          <w:tcPr>
            <w:shd w:val="clear" w:color="auto" w:fill="d6e4f0"/>
            <w:tcBorders/>
            <w:tcMar>
              <w:left w:w="120" w:type="dxa"/>
              <w:top w:w="60" w:type="dxa"/>
              <w:right w:w="120" w:type="dxa"/>
              <w:bottom w:w="60" w:type="dxa"/>
            </w:tcMar>
            <w:tcW w:w="2500" w:type="dxa"/>
          </w:tcPr>
          <w:p>
            <w:pPr>
              <w:pBdr/>
              <w:spacing w:after="60" w:before="60"/>
              <w:ind/>
              <w:rPr/>
            </w:pPr>
            <w:r>
              <w:rPr>
                <w:rFonts w:ascii="Calibri" w:hAnsi="Calibri" w:eastAsia="Calibri" w:cs="Calibri"/>
                <w:b/>
                <w:bCs/>
                <w:color w:val="1f3864"/>
                <w:sz w:val="19"/>
                <w:szCs w:val="19"/>
              </w:rPr>
              <w:t xml:space="preserve">B. miyamotoi LB-2001</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NC_021179</w:t>
            </w:r>
            <w:r/>
          </w:p>
        </w:tc>
        <w:tc>
          <w:tcPr>
            <w:shd w:val="clear" w:color="auto" w:fill="ffffff"/>
            <w:tcBorders/>
            <w:tcMar>
              <w:left w:w="120" w:type="dxa"/>
              <w:top w:w="60" w:type="dxa"/>
              <w:right w:w="120" w:type="dxa"/>
              <w:bottom w:w="60" w:type="dxa"/>
            </w:tcMar>
            <w:tcW w:w="4500" w:type="dxa"/>
          </w:tcPr>
          <w:p>
            <w:pPr>
              <w:pBdr/>
              <w:spacing w:after="60" w:before="60"/>
              <w:ind/>
              <w:rPr/>
            </w:pPr>
            <w:r>
              <w:rPr>
                <w:rFonts w:ascii="Calibri" w:hAnsi="Calibri" w:eastAsia="Calibri" w:cs="Calibri"/>
                <w:b w:val="0"/>
                <w:bCs w:val="0"/>
                <w:color w:val="222222"/>
                <w:sz w:val="19"/>
                <w:szCs w:val="19"/>
              </w:rPr>
              <w:t xml:space="preserve">Fièvre récurrente</w:t>
            </w:r>
            <w:r/>
          </w:p>
        </w:tc>
      </w:tr>
      <w:tr>
        <w:trPr/>
        <w:tc>
          <w:tcPr>
            <w:shd w:val="clear" w:color="auto" w:fill="d6e4f0"/>
            <w:tcBorders/>
            <w:tcMar>
              <w:left w:w="120" w:type="dxa"/>
              <w:top w:w="60" w:type="dxa"/>
              <w:right w:w="120" w:type="dxa"/>
              <w:bottom w:w="60" w:type="dxa"/>
            </w:tcMar>
            <w:tcW w:w="2500" w:type="dxa"/>
          </w:tcPr>
          <w:p>
            <w:pPr>
              <w:pBdr/>
              <w:spacing w:after="60" w:before="60"/>
              <w:ind/>
              <w:rPr/>
            </w:pPr>
            <w:r>
              <w:rPr>
                <w:rFonts w:ascii="Calibri" w:hAnsi="Calibri" w:eastAsia="Calibri" w:cs="Calibri"/>
                <w:b/>
                <w:bCs/>
                <w:color w:val="1f3864"/>
                <w:sz w:val="19"/>
                <w:szCs w:val="19"/>
              </w:rPr>
              <w:t xml:space="preserve">B. recurrentis A1</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NC_011407</w:t>
            </w:r>
            <w:r/>
          </w:p>
        </w:tc>
        <w:tc>
          <w:tcPr>
            <w:shd w:val="clear" w:color="auto" w:fill="f2f2f2"/>
            <w:tcBorders/>
            <w:tcMar>
              <w:left w:w="120" w:type="dxa"/>
              <w:top w:w="60" w:type="dxa"/>
              <w:right w:w="120" w:type="dxa"/>
              <w:bottom w:w="60" w:type="dxa"/>
            </w:tcMar>
            <w:tcW w:w="4500" w:type="dxa"/>
          </w:tcPr>
          <w:p>
            <w:pPr>
              <w:pBdr/>
              <w:spacing w:after="60" w:before="60"/>
              <w:ind/>
              <w:rPr/>
            </w:pPr>
            <w:r>
              <w:rPr>
                <w:rFonts w:ascii="Calibri" w:hAnsi="Calibri" w:eastAsia="Calibri" w:cs="Calibri"/>
                <w:b w:val="0"/>
                <w:bCs w:val="0"/>
                <w:color w:val="222222"/>
                <w:sz w:val="19"/>
                <w:szCs w:val="19"/>
              </w:rPr>
              <w:t xml:space="preserve">Fièvre récurrente épidémique</w:t>
            </w:r>
            <w:r/>
          </w:p>
        </w:tc>
      </w:tr>
    </w:tbl>
    <w:p>
      <w:pPr>
        <w:pBdr/>
        <w:spacing w:after="100"/>
        <w:ind/>
        <w:rPr/>
      </w:pPr>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mkdir -p data/reference/souches_reference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Télécharger chaque souche avec efetch</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efetch -db nucleotide -id NC_001318 -format 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data/reference/souches_reference/Borrelia_burgdorferi_B31.fasta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sed -i 's/&gt;.*/&gt;Borrelia_burgdorferi_B31/'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data/reference/souches_reference/Borrelia_burgdorferi_B31.fasta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efetch -db nucleotide -id NC_008277 -format 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data/reference/souches_reference/Borrelia_afzelii_PKo.fasta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sed -i 's/&gt;.*/&gt;Borrelia_afzelii_PKo/'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data/reference/souches_reference/Borrelia_afzelii_PKo.fasta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Répéter pour toutes les souches...</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6.2 — Combiner toutes les séquences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Fusionner souches de référence + notre consensus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cat data/reference/souches_reference/*.fasta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variants/consensus.fasta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phylogeny/all_sequences.fasta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les séquences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grep "&gt;" phylogeny/all_sequences.fasta</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&gt;Borrelia_burgdorferi_B31</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&gt;Borrelia_afzelii_PKo</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&gt;Borrelia_garinii_PBi</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&gt;Borrelia_hermsii_HS1</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&gt;Borrelia_miyamotoi_LB2001</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&gt;Borrelia_recurrentis_A1</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&gt;Borrelia_echantillon       ← notre séquence</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500"/>
        <w:gridCol w:w="5500"/>
      </w:tblGrid>
      <w:tr>
        <w:trPr>
          <w:tblHeader/>
        </w:trPr>
        <w:tc>
          <w:tcPr>
            <w:shd w:val="clear" w:color="auto" w:fill="1f3864"/>
            <w:tcBorders/>
            <w:tcMar>
              <w:left w:w="120" w:type="dxa"/>
              <w:top w:w="60" w:type="dxa"/>
              <w:right w:w="120" w:type="dxa"/>
              <w:bottom w:w="60" w:type="dxa"/>
            </w:tcMar>
            <w:tcW w:w="35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55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NCBI</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Grande bibliothèque mondiale de séquences génomiques</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Numéro d'accession</w:t>
            </w:r>
            <w:r/>
          </w:p>
        </w:tc>
        <w:tc>
          <w:tcPr>
            <w:shd w:val="clear" w:color="auto" w:fill="f2f2f2"/>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Référence unique d'une séquence dans NCBI</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efetch</w:t>
            </w:r>
            <w:r/>
          </w:p>
        </w:tc>
        <w:tc>
          <w:tcPr>
            <w:shd w:val="clear" w:color="auto" w:fill="ffffff"/>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Outil pour télécharger des séquences NCBI en ligne de commande</w:t>
            </w:r>
            <w:r/>
          </w:p>
        </w:tc>
      </w:tr>
      <w:tr>
        <w:trPr/>
        <w:tc>
          <w:tcPr>
            <w:shd w:val="clear" w:color="auto" w:fill="d6e4f0"/>
            <w:tcBorders/>
            <w:tcMar>
              <w:left w:w="120" w:type="dxa"/>
              <w:top w:w="60" w:type="dxa"/>
              <w:right w:w="120" w:type="dxa"/>
              <w:bottom w:w="60" w:type="dxa"/>
            </w:tcMar>
            <w:tcW w:w="3500" w:type="dxa"/>
          </w:tcPr>
          <w:p>
            <w:pPr>
              <w:pBdr/>
              <w:spacing w:after="60" w:before="60"/>
              <w:ind/>
              <w:rPr/>
            </w:pPr>
            <w:r>
              <w:rPr>
                <w:rFonts w:ascii="Calibri" w:hAnsi="Calibri" w:eastAsia="Calibri" w:cs="Calibri"/>
                <w:b/>
                <w:bCs/>
                <w:color w:val="1f3864"/>
                <w:sz w:val="19"/>
                <w:szCs w:val="19"/>
              </w:rPr>
              <w:t xml:space="preserve">FASTA multi-séquences</w:t>
            </w:r>
            <w:r/>
          </w:p>
        </w:tc>
        <w:tc>
          <w:tcPr>
            <w:shd w:val="clear" w:color="auto" w:fill="f2f2f2"/>
            <w:tcBorders/>
            <w:tcMar>
              <w:left w:w="120" w:type="dxa"/>
              <w:top w:w="60" w:type="dxa"/>
              <w:right w:w="120" w:type="dxa"/>
              <w:bottom w:w="60" w:type="dxa"/>
            </w:tcMar>
            <w:tcW w:w="5500" w:type="dxa"/>
          </w:tcPr>
          <w:p>
            <w:pPr>
              <w:pBdr/>
              <w:spacing w:after="60" w:before="60"/>
              <w:ind/>
              <w:rPr/>
            </w:pPr>
            <w:r>
              <w:rPr>
                <w:rFonts w:ascii="Calibri" w:hAnsi="Calibri" w:eastAsia="Calibri" w:cs="Calibri"/>
                <w:b w:val="0"/>
                <w:bCs w:val="0"/>
                <w:color w:val="222222"/>
                <w:sz w:val="19"/>
                <w:szCs w:val="19"/>
              </w:rPr>
              <w:t xml:space="preserve">Fichier contenant plusieurs séquences pour la phylogénie</w:t>
            </w:r>
            <w:r/>
          </w:p>
        </w:tc>
      </w:tr>
    </w:tbl>
    <w:p>
      <w:pPr>
        <w:pBdr/>
        <w:spacing w:after="0"/>
        <w:ind/>
        <w:rPr/>
      </w:pPr>
      <w:r>
        <w:b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1f3864"/>
            <w:tcBorders/>
            <w:tcMar>
              <w:left w:w="200" w:type="dxa"/>
              <w:top w:w="100" w:type="dxa"/>
              <w:right w:w="200" w:type="dxa"/>
              <w:bottom w:w="100" w:type="dxa"/>
            </w:tcMar>
          </w:tcPr>
          <w:p>
            <w:pPr>
              <w:pBdr/>
              <w:spacing w:after="120" w:before="120"/>
              <w:ind/>
              <w:jc w:val="center"/>
              <w:rPr/>
            </w:pPr>
            <w:r>
              <w:rPr>
                <w:rFonts w:ascii="Calibri" w:hAnsi="Calibri" w:eastAsia="Calibri" w:cs="Calibri"/>
                <w:b/>
                <w:bCs/>
                <w:color w:val="ffffff"/>
                <w:sz w:val="28"/>
                <w:szCs w:val="28"/>
              </w:rPr>
              <w:t xml:space="preserve">ÉTAPE 7 — Alignement multiple et phylogénie</w:t>
            </w:r>
            <w:r/>
          </w:p>
        </w:tc>
      </w:tr>
    </w:tbl>
    <w:p>
      <w:pPr>
        <w:pBdr/>
        <w:spacing w:after="160"/>
        <w:ind/>
        <w:rPr/>
      </w:pPr>
      <w:r/>
      <w:r/>
    </w:p>
    <w:p>
      <w:pPr>
        <w:pStyle w:val="879"/>
        <w:pBdr/>
        <w:spacing w:after="120" w:before="300"/>
        <w:ind/>
        <w:rPr/>
      </w:pPr>
      <w:r>
        <w:rPr>
          <w:rFonts w:ascii="Calibri" w:hAnsi="Calibri" w:eastAsia="Calibri" w:cs="Calibri"/>
          <w:b/>
          <w:bCs/>
          <w:color w:val="2e74b5"/>
          <w:sz w:val="28"/>
          <w:szCs w:val="28"/>
        </w:rPr>
        <w:t xml:space="preserve">Pourquoi cette étape ?</w:t>
      </w:r>
      <w:r/>
    </w:p>
    <w:p>
      <w:pPr>
        <w:pBdr/>
        <w:spacing w:after="100"/>
        <w:ind/>
        <w:rPr/>
      </w:pPr>
      <w:r>
        <w:rPr>
          <w:rFonts w:ascii="Calibri" w:hAnsi="Calibri" w:eastAsia="Calibri" w:cs="Calibri"/>
          <w:sz w:val="21"/>
          <w:szCs w:val="21"/>
        </w:rPr>
        <w:t xml:space="preserve">C'est l'étape finale. On va aligner toutes les séquences entre elles, construire l'arbre phylogénétique, puis identifier le clade auquel appartient notre Borrelia.</w:t>
      </w:r>
      <w:r/>
    </w:p>
    <w:p>
      <w:pPr>
        <w:pStyle w:val="880"/>
        <w:pBdr/>
        <w:spacing w:after="80" w:before="200"/>
        <w:ind/>
        <w:rPr/>
      </w:pPr>
      <w:r>
        <w:rPr>
          <w:rFonts w:ascii="Calibri" w:hAnsi="Calibri" w:eastAsia="Calibri" w:cs="Calibri"/>
          <w:b/>
          <w:bCs/>
          <w:color w:val="1f3864"/>
          <w:sz w:val="24"/>
          <w:szCs w:val="24"/>
        </w:rPr>
        <w:t xml:space="preserve">7.1 — Comprendre l'alignement multiple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Avant alignement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Seq1 : ATGCTAGCTAGCT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Seq2 : ATGCTA--TAGCT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Seq3 : ATGCTAGCAAGCT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Après alignement multiple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Seq1 : ATGCTAGCT-AGCT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Seq2 : ATGCTA--T-AGCT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Seq3 : ATGCTAGCTAAGCT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insertion / délétion (gap)</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7.2 — Alignement multiple avec MAFFT</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mafft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--auto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--thread 8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phylogeny/all_sequences.fasta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&gt; phylogeny/aligned.fasta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2&gt; phylogeny/mafft_log.txt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--auto : MAFFT choisit la meilleure stratégie automatiquement</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Vérifier que toutes les séquences ont la même longueur</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awk '/^&gt;/{if(seq) print length(seq); seq=""} !/^&gt;/{seq=seq$0}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END{print length(seq)}' phylogeny/aligned.fasta</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7.3 — Inférence phylogénétique avec IQ-TREE2</w:t>
      </w:r>
      <w:r/>
    </w:p>
    <w:p>
      <w:pPr>
        <w:pBdr/>
        <w:spacing w:after="100"/>
        <w:ind/>
        <w:rPr/>
      </w:pPr>
      <w:r>
        <w:rPr>
          <w:rFonts w:ascii="Calibri" w:hAnsi="Calibri" w:eastAsia="Calibri" w:cs="Calibri"/>
          <w:sz w:val="21"/>
          <w:szCs w:val="21"/>
        </w:rPr>
        <w:t xml:space="preserve">IQ-TREE2 utilise la méthode du Maximum de Vraisemblance pour trouver l'arbre qui explique le mieux les données.</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iqtree2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-s phylogeny/aligned.fasta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 TEST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-bb 1000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-nt AUTO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--prefix phylogeny/borrelia_tree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--redo</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Paramètres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-m TEST   → tester et choisir le meilleur modèle de substitution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-bb 1000  → 1000 bootstraps pour évaluer la robustesse des nœuds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-nt AUTO  → utiliser tous les processeurs disponibles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Fichiers générés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borrelia_tree.treefile  → arbre (format Newick)</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borrelia_tree.iqtree   → rapport complet avec modèle retenu</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borrelia_tree.log      → journal de l'analyse</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7.4 — Interpréter les valeurs de bootstrap</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Valeur bootstrap</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Interprétation</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 95</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Nœud très bien supporté — fiable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70 – 94</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Nœud bien supporté</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50 – 69</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Nœud faiblement supporté</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&lt; 50</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Nœud non fiable</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7.5 — Visualiser l'arbre avec FigTree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Ouvrir FigTree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figtree phylogeny/borrelia_tree.treefile &amp;</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Dans FigTree :</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1. Trees → Midpoint root (enraciner l'arbre)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2. Cocher "Branch labels" → afficher les bootstraps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3. Cocher "Tip labels"    → afficher les noms des souches</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4. Identifier le clade de Borrelia_echantillon</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5. File → Export PDF → sauvegarder la figure</w:t>
            </w:r>
            <w:r/>
          </w:p>
        </w:tc>
      </w:tr>
    </w:tbl>
    <w:p>
      <w:pPr>
        <w:pBdr/>
        <w:spacing w:after="8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d6e4f0"/>
            <w:tcBorders/>
            <w:tcMar>
              <w:left w:w="200" w:type="dxa"/>
              <w:top w:w="100" w:type="dxa"/>
              <w:right w:w="200" w:type="dxa"/>
              <w:bottom w:w="100" w:type="dxa"/>
            </w:tcMar>
          </w:tcPr>
          <w:p>
            <w:pPr>
              <w:pBdr/>
              <w:spacing w:after="60" w:before="60"/>
              <w:ind/>
              <w:rPr/>
            </w:pPr>
            <w:r>
              <w:rPr>
                <w:rFonts w:ascii="Calibri" w:hAnsi="Calibri" w:eastAsia="Calibri" w:cs="Calibri"/>
                <w:b/>
                <w:bCs/>
                <w:color w:val="2e74b5"/>
                <w:sz w:val="20"/>
                <w:szCs w:val="20"/>
              </w:rPr>
              <w:t xml:space="preserve">💡 Alternative en ligne</w:t>
            </w:r>
            <w:r/>
          </w:p>
          <w:p>
            <w:pPr>
              <w:pBdr/>
              <w:spacing w:after="40" w:before="20"/>
              <w:ind/>
              <w:rPr/>
            </w:pPr>
            <w:r>
              <w:rPr>
                <w:rFonts w:ascii="Calibri" w:hAnsi="Calibri" w:eastAsia="Calibri" w:cs="Calibri"/>
                <w:color w:val="333333"/>
                <w:sz w:val="19"/>
                <w:szCs w:val="19"/>
              </w:rPr>
              <w:t xml:space="preserve">Aller sur https://itol.embl.de</w:t>
            </w:r>
            <w:r/>
          </w:p>
          <w:p>
            <w:pPr>
              <w:pBdr/>
              <w:spacing w:after="40" w:before="20"/>
              <w:ind/>
              <w:rPr/>
            </w:pPr>
            <w:r>
              <w:rPr>
                <w:rFonts w:ascii="Calibri" w:hAnsi="Calibri" w:eastAsia="Calibri" w:cs="Calibri"/>
                <w:color w:val="333333"/>
                <w:sz w:val="19"/>
                <w:szCs w:val="19"/>
              </w:rPr>
              <w:t xml:space="preserve">Upload → borrelia_tree.treefile</w:t>
            </w:r>
            <w:r/>
          </w:p>
          <w:p>
            <w:pPr>
              <w:pBdr/>
              <w:spacing w:after="40" w:before="20"/>
              <w:ind/>
              <w:rPr/>
            </w:pPr>
            <w:r>
              <w:rPr>
                <w:rFonts w:ascii="Calibri" w:hAnsi="Calibri" w:eastAsia="Calibri" w:cs="Calibri"/>
                <w:color w:val="333333"/>
                <w:sz w:val="19"/>
                <w:szCs w:val="19"/>
              </w:rPr>
              <w:t xml:space="preserve">Annoter, colorer, exporter en qualité publication</w:t>
            </w:r>
            <w:r/>
          </w:p>
        </w:tc>
      </w:tr>
    </w:tbl>
    <w:p>
      <w:pPr>
        <w:pBdr/>
        <w:spacing w:after="120"/>
        <w:ind/>
        <w:rPr/>
      </w:pPr>
      <w:r/>
      <w:r/>
    </w:p>
    <w:p>
      <w:pPr>
        <w:pStyle w:val="880"/>
        <w:pBdr/>
        <w:spacing w:after="80" w:before="200"/>
        <w:ind/>
        <w:rPr/>
      </w:pPr>
      <w:r>
        <w:rPr>
          <w:rFonts w:ascii="Calibri" w:hAnsi="Calibri" w:eastAsia="Calibri" w:cs="Calibri"/>
          <w:b/>
          <w:bCs/>
          <w:color w:val="1f3864"/>
          <w:sz w:val="24"/>
          <w:szCs w:val="24"/>
        </w:rPr>
        <w:t xml:space="preserve">7.6 — Exercice pratique</w:t>
      </w:r>
      <w:r/>
    </w:p>
    <w:tbl>
      <w:tblPr>
        <w:tblW w:w="9000" w:type="dxa"/>
        <w:tblBorders>
          <w:top w:val="single" w:color="ccddee" w:sz="4" w:space="0"/>
          <w:left w:val="none" w:color="000000" w:sz="4" w:space="0"/>
          <w:bottom w:val="single" w:color="ccddee" w:sz="4" w:space="0"/>
          <w:right w:val="none" w:color="000000"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Voir le modèle de substitution retenu</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grep "Best-fit model" phylogeny/borrelia_tree.iqtree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Voir le log-likelihood de l'arbre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grep "Log-likelihood" phylogeny/borrelia_tree.iqtree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 Localiser notre souche dans l'arbre</w:t>
            </w:r>
            <w:r/>
          </w:p>
        </w:tc>
      </w:tr>
      <w:tr>
        <w:trPr/>
        <w:tc>
          <w:tcPr>
            <w:shd w:val="clear" w:color="auto" w:fill="f0f4f8"/>
            <w:tcBorders>
              <w:top w:val="none" w:color="000000" w:sz="4" w:space="0"/>
              <w:left w:val="single" w:color="2e74b5" w:sz="12" w:space="0"/>
              <w:bottom w:val="none" w:color="000000" w:sz="4" w:space="0"/>
              <w:right w:val="none" w:color="000000" w:sz="4" w:space="0"/>
            </w:tcBorders>
            <w:tcMar>
              <w:left w:w="180" w:type="dxa"/>
              <w:top w:w="40" w:type="dxa"/>
              <w:right w:w="180" w:type="dxa"/>
              <w:bottom w:w="40" w:type="dxa"/>
            </w:tcMar>
          </w:tcPr>
          <w:p>
            <w:pPr>
              <w:pBdr/>
              <w:spacing w:after="20" w:before="20"/>
              <w:ind/>
              <w:rPr/>
            </w:pPr>
            <w:r>
              <w:rPr>
                <w:rFonts w:ascii="Courier New" w:hAnsi="Courier New" w:eastAsia="Courier New" w:cs="Courier New"/>
                <w:color w:val="1a1a2e"/>
                <w:sz w:val="17"/>
                <w:szCs w:val="17"/>
              </w:rPr>
              <w:t xml:space="preserve">grep "Borrelia_echantillon" phylogeny/borrelia_tree.treefile</w:t>
            </w:r>
            <w:r/>
          </w:p>
        </w:tc>
      </w:tr>
    </w:tbl>
    <w:p>
      <w:pPr>
        <w:pBdr/>
        <w:spacing w:after="160"/>
        <w:ind/>
        <w:rPr/>
      </w:pPr>
      <w:r/>
      <w:r/>
    </w:p>
    <w:p>
      <w:pPr>
        <w:pStyle w:val="880"/>
        <w:pBdr/>
        <w:spacing w:after="80" w:before="200"/>
        <w:ind/>
        <w:rPr/>
      </w:pPr>
      <w:r>
        <w:rPr>
          <w:rFonts w:ascii="Calibri" w:hAnsi="Calibri" w:eastAsia="Calibri" w:cs="Calibri"/>
          <w:b/>
          <w:bCs/>
          <w:color w:val="1f3864"/>
          <w:sz w:val="24"/>
          <w:szCs w:val="24"/>
        </w:rPr>
        <w:t xml:space="preserve">Ce que la stagiaire doit retenir</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00"/>
        <w:gridCol w:w="6000"/>
      </w:tblGrid>
      <w:tr>
        <w:trPr>
          <w:tblHeader/>
        </w:trPr>
        <w:tc>
          <w:tcPr>
            <w:shd w:val="clear" w:color="auto" w:fill="1f3864"/>
            <w:tcBorders/>
            <w:tcMar>
              <w:left w:w="120" w:type="dxa"/>
              <w:top w:w="60" w:type="dxa"/>
              <w:right w:w="120" w:type="dxa"/>
              <w:bottom w:w="60" w:type="dxa"/>
            </w:tcMar>
            <w:tcW w:w="3000" w:type="dxa"/>
            <w:vAlign w:val="center"/>
          </w:tcPr>
          <w:p>
            <w:pPr>
              <w:pBdr/>
              <w:spacing w:after="80" w:before="80"/>
              <w:ind/>
              <w:jc w:val="center"/>
              <w:rPr/>
            </w:pPr>
            <w:r>
              <w:rPr>
                <w:rFonts w:ascii="Calibri" w:hAnsi="Calibri" w:eastAsia="Calibri" w:cs="Calibri"/>
                <w:b/>
                <w:bCs/>
                <w:color w:val="ffffff"/>
                <w:sz w:val="19"/>
                <w:szCs w:val="19"/>
              </w:rPr>
              <w:t xml:space="preserve">Concept</w:t>
            </w:r>
            <w:r/>
          </w:p>
        </w:tc>
        <w:tc>
          <w:tcPr>
            <w:shd w:val="clear" w:color="auto" w:fill="1f3864"/>
            <w:tcBorders/>
            <w:tcMar>
              <w:left w:w="120" w:type="dxa"/>
              <w:top w:w="60" w:type="dxa"/>
              <w:right w:w="120" w:type="dxa"/>
              <w:bottom w:w="60" w:type="dxa"/>
            </w:tcMar>
            <w:tcW w:w="6000" w:type="dxa"/>
            <w:vAlign w:val="center"/>
          </w:tcPr>
          <w:p>
            <w:pPr>
              <w:pBdr/>
              <w:spacing w:after="80" w:before="80"/>
              <w:ind/>
              <w:jc w:val="center"/>
              <w:rPr/>
            </w:pPr>
            <w:r>
              <w:rPr>
                <w:rFonts w:ascii="Calibri" w:hAnsi="Calibri" w:eastAsia="Calibri" w:cs="Calibri"/>
                <w:b/>
                <w:bCs/>
                <w:color w:val="ffffff"/>
                <w:sz w:val="19"/>
                <w:szCs w:val="19"/>
              </w:rPr>
              <w:t xml:space="preserve">Explication simple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Alignement multiple</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Placer les séquences en face à face pour comparer</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MAFFT</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Outil qui réalise l'alignement multiple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Phylogénie</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Reconstruction de l'histoire évolutive des organismes</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IQ-TREE2</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Construit l'arbre phylogénétique par maximum de vraisemblance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Bootstrap</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Score de confiance d'un nœud (≥ 95 = fiable)</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Clade</w:t>
            </w:r>
            <w:r/>
          </w:p>
        </w:tc>
        <w:tc>
          <w:tcPr>
            <w:shd w:val="clear" w:color="auto" w:fill="f2f2f2"/>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Groupe de séquences partageant un ancêtre commun</w:t>
            </w:r>
            <w:r/>
          </w:p>
        </w:tc>
      </w:tr>
      <w:tr>
        <w:trPr/>
        <w:tc>
          <w:tcPr>
            <w:shd w:val="clear" w:color="auto" w:fill="d6e4f0"/>
            <w:tcBorders/>
            <w:tcMar>
              <w:left w:w="120" w:type="dxa"/>
              <w:top w:w="60" w:type="dxa"/>
              <w:right w:w="120" w:type="dxa"/>
              <w:bottom w:w="60" w:type="dxa"/>
            </w:tcMar>
            <w:tcW w:w="3000" w:type="dxa"/>
          </w:tcPr>
          <w:p>
            <w:pPr>
              <w:pBdr/>
              <w:spacing w:after="60" w:before="60"/>
              <w:ind/>
              <w:rPr/>
            </w:pPr>
            <w:r>
              <w:rPr>
                <w:rFonts w:ascii="Calibri" w:hAnsi="Calibri" w:eastAsia="Calibri" w:cs="Calibri"/>
                <w:b/>
                <w:bCs/>
                <w:color w:val="1f3864"/>
                <w:sz w:val="19"/>
                <w:szCs w:val="19"/>
              </w:rPr>
              <w:t xml:space="preserve">FigTree / iTOL</w:t>
            </w:r>
            <w:r/>
          </w:p>
        </w:tc>
        <w:tc>
          <w:tcPr>
            <w:shd w:val="clear" w:color="auto" w:fill="ffffff"/>
            <w:tcBorders/>
            <w:tcMar>
              <w:left w:w="120" w:type="dxa"/>
              <w:top w:w="60" w:type="dxa"/>
              <w:right w:w="120" w:type="dxa"/>
              <w:bottom w:w="60" w:type="dxa"/>
            </w:tcMar>
            <w:tcW w:w="6000" w:type="dxa"/>
          </w:tcPr>
          <w:p>
            <w:pPr>
              <w:pBdr/>
              <w:spacing w:after="60" w:before="60"/>
              <w:ind/>
              <w:rPr/>
            </w:pPr>
            <w:r>
              <w:rPr>
                <w:rFonts w:ascii="Calibri" w:hAnsi="Calibri" w:eastAsia="Calibri" w:cs="Calibri"/>
                <w:b w:val="0"/>
                <w:bCs w:val="0"/>
                <w:color w:val="222222"/>
                <w:sz w:val="19"/>
                <w:szCs w:val="19"/>
              </w:rPr>
              <w:t xml:space="preserve">Logiciels pour visualiser et annoter l'arbre</w:t>
            </w:r>
            <w:r/>
          </w:p>
        </w:tc>
      </w:tr>
    </w:tbl>
    <w:p>
      <w:pPr>
        <w:pBdr/>
        <w:spacing w:after="0"/>
        <w:ind/>
        <w:rPr/>
      </w:pPr>
      <w:r>
        <w:br/>
      </w:r>
      <w:r/>
    </w:p>
    <w:p>
      <w:pPr>
        <w:pStyle w:val="878"/>
        <w:pBdr>
          <w:bottom w:val="single" w:color="1f3864" w:sz="8" w:space="4"/>
        </w:pBdr>
        <w:spacing w:after="160" w:before="400"/>
        <w:ind/>
        <w:rPr/>
      </w:pPr>
      <w:r>
        <w:rPr>
          <w:rFonts w:ascii="Calibri" w:hAnsi="Calibri" w:eastAsia="Calibri" w:cs="Calibri"/>
          <w:b/>
          <w:bCs/>
          <w:color w:val="1f3864"/>
          <w:sz w:val="36"/>
          <w:szCs w:val="36"/>
        </w:rPr>
        <w:t xml:space="preserve">Récapitulatif général du pipeline</w:t>
      </w:r>
      <w:r/>
    </w:p>
    <w:p>
      <w:pPr>
        <w:pBd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0"/>
        <w:gridCol w:w="2000"/>
        <w:gridCol w:w="2800"/>
        <w:gridCol w:w="3500"/>
      </w:tblGrid>
      <w:tr>
        <w:trPr>
          <w:tblHeader/>
        </w:trPr>
        <w:tc>
          <w:tcPr>
            <w:shd w:val="clear" w:color="auto" w:fill="1f3864"/>
            <w:tcBorders/>
            <w:tcMar>
              <w:left w:w="120" w:type="dxa"/>
              <w:top w:w="60" w:type="dxa"/>
              <w:right w:w="120" w:type="dxa"/>
              <w:bottom w:w="60" w:type="dxa"/>
            </w:tcMar>
            <w:tcW w:w="700" w:type="dxa"/>
            <w:vAlign w:val="center"/>
          </w:tcPr>
          <w:p>
            <w:pPr>
              <w:pBdr/>
              <w:spacing w:after="80" w:before="80"/>
              <w:ind/>
              <w:jc w:val="center"/>
              <w:rPr/>
            </w:pPr>
            <w:r>
              <w:rPr>
                <w:rFonts w:ascii="Calibri" w:hAnsi="Calibri" w:eastAsia="Calibri" w:cs="Calibri"/>
                <w:b/>
                <w:bCs/>
                <w:color w:val="ffffff"/>
                <w:sz w:val="19"/>
                <w:szCs w:val="19"/>
              </w:rPr>
              <w:t xml:space="preserve">Étape</w:t>
            </w:r>
            <w:r/>
          </w:p>
        </w:tc>
        <w:tc>
          <w:tcPr>
            <w:shd w:val="clear" w:color="auto" w:fill="1f3864"/>
            <w:tcBorders/>
            <w:tcMar>
              <w:left w:w="120" w:type="dxa"/>
              <w:top w:w="60" w:type="dxa"/>
              <w:right w:w="120" w:type="dxa"/>
              <w:bottom w:w="60" w:type="dxa"/>
            </w:tcMar>
            <w:tcW w:w="2000" w:type="dxa"/>
            <w:vAlign w:val="center"/>
          </w:tcPr>
          <w:p>
            <w:pPr>
              <w:pBdr/>
              <w:spacing w:after="80" w:before="80"/>
              <w:ind/>
              <w:jc w:val="center"/>
              <w:rPr/>
            </w:pPr>
            <w:r>
              <w:rPr>
                <w:rFonts w:ascii="Calibri" w:hAnsi="Calibri" w:eastAsia="Calibri" w:cs="Calibri"/>
                <w:b/>
                <w:bCs/>
                <w:color w:val="ffffff"/>
                <w:sz w:val="19"/>
                <w:szCs w:val="19"/>
              </w:rPr>
              <w:t xml:space="preserve">Nom</w:t>
            </w:r>
            <w:r/>
          </w:p>
        </w:tc>
        <w:tc>
          <w:tcPr>
            <w:shd w:val="clear" w:color="auto" w:fill="1f3864"/>
            <w:tcBorders/>
            <w:tcMar>
              <w:left w:w="120" w:type="dxa"/>
              <w:top w:w="60" w:type="dxa"/>
              <w:right w:w="120" w:type="dxa"/>
              <w:bottom w:w="60" w:type="dxa"/>
            </w:tcMar>
            <w:tcW w:w="2800" w:type="dxa"/>
            <w:vAlign w:val="center"/>
          </w:tcPr>
          <w:p>
            <w:pPr>
              <w:pBdr/>
              <w:spacing w:after="80" w:before="80"/>
              <w:ind/>
              <w:jc w:val="center"/>
              <w:rPr/>
            </w:pPr>
            <w:r>
              <w:rPr>
                <w:rFonts w:ascii="Calibri" w:hAnsi="Calibri" w:eastAsia="Calibri" w:cs="Calibri"/>
                <w:b/>
                <w:bCs/>
                <w:color w:val="ffffff"/>
                <w:sz w:val="19"/>
                <w:szCs w:val="19"/>
              </w:rPr>
              <w:t xml:space="preserve">Commande clé</w:t>
            </w:r>
            <w:r/>
          </w:p>
        </w:tc>
        <w:tc>
          <w:tcPr>
            <w:shd w:val="clear" w:color="auto" w:fill="1f3864"/>
            <w:tcBorders/>
            <w:tcMar>
              <w:left w:w="120" w:type="dxa"/>
              <w:top w:w="60" w:type="dxa"/>
              <w:right w:w="120" w:type="dxa"/>
              <w:bottom w:w="60" w:type="dxa"/>
            </w:tcMar>
            <w:tcW w:w="3500" w:type="dxa"/>
            <w:vAlign w:val="center"/>
          </w:tcPr>
          <w:p>
            <w:pPr>
              <w:pBdr/>
              <w:spacing w:after="80" w:before="80"/>
              <w:ind/>
              <w:jc w:val="center"/>
              <w:rPr/>
            </w:pPr>
            <w:r>
              <w:rPr>
                <w:rFonts w:ascii="Calibri" w:hAnsi="Calibri" w:eastAsia="Calibri" w:cs="Calibri"/>
                <w:b/>
                <w:bCs/>
                <w:color w:val="ffffff"/>
                <w:sz w:val="19"/>
                <w:szCs w:val="19"/>
              </w:rPr>
              <w:t xml:space="preserve">Livrable</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0</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Environnement</w:t>
            </w:r>
            <w:r/>
          </w:p>
        </w:tc>
        <w:tc>
          <w:tcPr>
            <w:shd w:val="clear" w:color="auto" w:fill="ffffff"/>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conda create / git init</w:t>
            </w:r>
            <w:r/>
          </w:p>
        </w:tc>
        <w:tc>
          <w:tcPr>
            <w:shd w:val="clear" w:color="auto" w:fill="ffffff"/>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Environnement prêt</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0.5</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Données</w:t>
            </w:r>
            <w:r/>
          </w:p>
        </w:tc>
        <w:tc>
          <w:tcPr>
            <w:shd w:val="clear" w:color="auto" w:fill="f2f2f2"/>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prefetch / fastq-dump / cp</w:t>
            </w:r>
            <w:r/>
          </w:p>
        </w:tc>
        <w:tc>
          <w:tcPr>
            <w:shd w:val="clear" w:color="auto" w:fill="f2f2f2"/>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Fichiers FASTQ bruts</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1</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Contrôle qualité</w:t>
            </w:r>
            <w:r/>
          </w:p>
        </w:tc>
        <w:tc>
          <w:tcPr>
            <w:shd w:val="clear" w:color="auto" w:fill="ffffff"/>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fastqc / fastp / multiqc</w:t>
            </w:r>
            <w:r/>
          </w:p>
        </w:tc>
        <w:tc>
          <w:tcPr>
            <w:shd w:val="clear" w:color="auto" w:fill="ffffff"/>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FASTQ nettoyés + rapports</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2</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Extraction</w:t>
            </w:r>
            <w:r/>
          </w:p>
        </w:tc>
        <w:tc>
          <w:tcPr>
            <w:shd w:val="clear" w:color="auto" w:fill="f2f2f2"/>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kraken2 / extract_kraken_reads.py</w:t>
            </w:r>
            <w:r/>
          </w:p>
        </w:tc>
        <w:tc>
          <w:tcPr>
            <w:shd w:val="clear" w:color="auto" w:fill="f2f2f2"/>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FASTQ Borrelia</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3</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Référence</w:t>
            </w:r>
            <w:r/>
          </w:p>
        </w:tc>
        <w:tc>
          <w:tcPr>
            <w:shd w:val="clear" w:color="auto" w:fill="ffffff"/>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wget / bwa index</w:t>
            </w:r>
            <w:r/>
          </w:p>
        </w:tc>
        <w:tc>
          <w:tcPr>
            <w:shd w:val="clear" w:color="auto" w:fill="ffffff"/>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Génome indexé</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4</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Alignement</w:t>
            </w:r>
            <w:r/>
          </w:p>
        </w:tc>
        <w:tc>
          <w:tcPr>
            <w:shd w:val="clear" w:color="auto" w:fill="f2f2f2"/>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bwa mem | samtools sort</w:t>
            </w:r>
            <w:r/>
          </w:p>
        </w:tc>
        <w:tc>
          <w:tcPr>
            <w:shd w:val="clear" w:color="auto" w:fill="f2f2f2"/>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Fichier BAM</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5</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Variants</w:t>
            </w:r>
            <w:r/>
          </w:p>
        </w:tc>
        <w:tc>
          <w:tcPr>
            <w:shd w:val="clear" w:color="auto" w:fill="ffffff"/>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bcftools mpileup/call/consensus</w:t>
            </w:r>
            <w:r/>
          </w:p>
        </w:tc>
        <w:tc>
          <w:tcPr>
            <w:shd w:val="clear" w:color="auto" w:fill="ffffff"/>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VCF + consensus FASTA</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6</w:t>
            </w:r>
            <w:r/>
          </w:p>
        </w:tc>
        <w:tc>
          <w:tcPr>
            <w:shd w:val="clear" w:color="auto" w:fill="f2f2f2"/>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Préparation</w:t>
            </w:r>
            <w:r/>
          </w:p>
        </w:tc>
        <w:tc>
          <w:tcPr>
            <w:shd w:val="clear" w:color="auto" w:fill="f2f2f2"/>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efetch / cat</w:t>
            </w:r>
            <w:r/>
          </w:p>
        </w:tc>
        <w:tc>
          <w:tcPr>
            <w:shd w:val="clear" w:color="auto" w:fill="f2f2f2"/>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Multi-FASTA toutes souches</w:t>
            </w:r>
            <w:r/>
          </w:p>
        </w:tc>
      </w:tr>
      <w:tr>
        <w:trPr/>
        <w:tc>
          <w:tcPr>
            <w:shd w:val="clear" w:color="auto" w:fill="d6e4f0"/>
            <w:tcBorders/>
            <w:tcMar>
              <w:left w:w="120" w:type="dxa"/>
              <w:top w:w="60" w:type="dxa"/>
              <w:right w:w="120" w:type="dxa"/>
              <w:bottom w:w="60" w:type="dxa"/>
            </w:tcMar>
            <w:tcW w:w="700" w:type="dxa"/>
          </w:tcPr>
          <w:p>
            <w:pPr>
              <w:pBdr/>
              <w:spacing w:after="60" w:before="60"/>
              <w:ind/>
              <w:rPr/>
            </w:pPr>
            <w:r>
              <w:rPr>
                <w:rFonts w:ascii="Calibri" w:hAnsi="Calibri" w:eastAsia="Calibri" w:cs="Calibri"/>
                <w:b/>
                <w:bCs/>
                <w:color w:val="1f3864"/>
                <w:sz w:val="19"/>
                <w:szCs w:val="19"/>
              </w:rPr>
              <w:t xml:space="preserve">7</w:t>
            </w:r>
            <w:r/>
          </w:p>
        </w:tc>
        <w:tc>
          <w:tcPr>
            <w:shd w:val="clear" w:color="auto" w:fill="ffffff"/>
            <w:tcBorders/>
            <w:tcMar>
              <w:left w:w="120" w:type="dxa"/>
              <w:top w:w="60" w:type="dxa"/>
              <w:right w:w="120" w:type="dxa"/>
              <w:bottom w:w="60" w:type="dxa"/>
            </w:tcMar>
            <w:tcW w:w="2000" w:type="dxa"/>
          </w:tcPr>
          <w:p>
            <w:pPr>
              <w:pBdr/>
              <w:spacing w:after="60" w:before="60"/>
              <w:ind/>
              <w:rPr/>
            </w:pPr>
            <w:r>
              <w:rPr>
                <w:rFonts w:ascii="Calibri" w:hAnsi="Calibri" w:eastAsia="Calibri" w:cs="Calibri"/>
                <w:b w:val="0"/>
                <w:bCs w:val="0"/>
                <w:color w:val="222222"/>
                <w:sz w:val="19"/>
                <w:szCs w:val="19"/>
              </w:rPr>
              <w:t xml:space="preserve">Phylogénie</w:t>
            </w:r>
            <w:r/>
          </w:p>
        </w:tc>
        <w:tc>
          <w:tcPr>
            <w:shd w:val="clear" w:color="auto" w:fill="ffffff"/>
            <w:tcBorders/>
            <w:tcMar>
              <w:left w:w="120" w:type="dxa"/>
              <w:top w:w="60" w:type="dxa"/>
              <w:right w:w="120" w:type="dxa"/>
              <w:bottom w:w="60" w:type="dxa"/>
            </w:tcMar>
            <w:tcW w:w="2800" w:type="dxa"/>
          </w:tcPr>
          <w:p>
            <w:pPr>
              <w:pBdr/>
              <w:spacing w:after="60" w:before="60"/>
              <w:ind/>
              <w:rPr/>
            </w:pPr>
            <w:r>
              <w:rPr>
                <w:rFonts w:ascii="Calibri" w:hAnsi="Calibri" w:eastAsia="Calibri" w:cs="Calibri"/>
                <w:b w:val="0"/>
                <w:bCs w:val="0"/>
                <w:color w:val="222222"/>
                <w:sz w:val="19"/>
                <w:szCs w:val="19"/>
              </w:rPr>
              <w:t xml:space="preserve">mafft / iqtree2 / figtree</w:t>
            </w:r>
            <w:r/>
          </w:p>
        </w:tc>
        <w:tc>
          <w:tcPr>
            <w:shd w:val="clear" w:color="auto" w:fill="ffffff"/>
            <w:tcBorders/>
            <w:tcMar>
              <w:left w:w="120" w:type="dxa"/>
              <w:top w:w="60" w:type="dxa"/>
              <w:right w:w="120" w:type="dxa"/>
              <w:bottom w:w="60" w:type="dxa"/>
            </w:tcMar>
            <w:tcW w:w="3500" w:type="dxa"/>
          </w:tcPr>
          <w:p>
            <w:pPr>
              <w:pBdr/>
              <w:spacing w:after="60" w:before="60"/>
              <w:ind/>
              <w:rPr/>
            </w:pPr>
            <w:r>
              <w:rPr>
                <w:rFonts w:ascii="Calibri" w:hAnsi="Calibri" w:eastAsia="Calibri" w:cs="Calibri"/>
                <w:b w:val="0"/>
                <w:bCs w:val="0"/>
                <w:color w:val="222222"/>
                <w:sz w:val="19"/>
                <w:szCs w:val="19"/>
              </w:rPr>
              <w:t xml:space="preserve">Arbre + clade identifié</w:t>
            </w:r>
            <w:r/>
          </w:p>
        </w:tc>
      </w:tr>
    </w:tbl>
    <w:p>
      <w:pPr>
        <w:pBdr/>
        <w:spacing w:after="20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0"/>
      </w:tblGrid>
      <w:tr>
        <w:trPr/>
        <w:tc>
          <w:tcPr>
            <w:shd w:val="clear" w:color="auto" w:fill="d6ead9"/>
            <w:tcBorders/>
            <w:tcMar>
              <w:left w:w="200" w:type="dxa"/>
              <w:top w:w="100" w:type="dxa"/>
              <w:right w:w="200" w:type="dxa"/>
              <w:bottom w:w="100" w:type="dxa"/>
            </w:tcMar>
          </w:tcPr>
          <w:p>
            <w:pPr>
              <w:pBdr/>
              <w:spacing w:after="60" w:before="60"/>
              <w:ind/>
              <w:rPr/>
            </w:pPr>
            <w:r>
              <w:rPr>
                <w:rFonts w:ascii="Calibri" w:hAnsi="Calibri" w:eastAsia="Calibri" w:cs="Calibri"/>
                <w:b/>
                <w:bCs/>
                <w:color w:val="1e6b3c"/>
                <w:sz w:val="20"/>
                <w:szCs w:val="20"/>
              </w:rPr>
              <w:t xml:space="preserve">✅ Validation finale</w:t>
            </w:r>
            <w:r/>
          </w:p>
          <w:p>
            <w:pPr>
              <w:pBdr/>
              <w:spacing w:after="40" w:before="20"/>
              <w:ind/>
              <w:rPr/>
            </w:pPr>
            <w:r>
              <w:rPr>
                <w:rFonts w:ascii="Calibri" w:hAnsi="Calibri" w:eastAsia="Calibri" w:cs="Calibri"/>
                <w:color w:val="333333"/>
                <w:sz w:val="19"/>
                <w:szCs w:val="19"/>
              </w:rPr>
              <w:t xml:space="preserve">À la fin du pipeline, la stagiaire doit être capable de :</w:t>
            </w:r>
            <w:r/>
          </w:p>
          <w:p>
            <w:pPr>
              <w:pBdr/>
              <w:spacing w:after="40" w:before="20"/>
              <w:ind/>
              <w:rPr/>
            </w:pPr>
            <w:r>
              <w:rPr>
                <w:rFonts w:ascii="Calibri" w:hAnsi="Calibri" w:eastAsia="Calibri" w:cs="Calibri"/>
                <w:color w:val="333333"/>
                <w:sz w:val="19"/>
                <w:szCs w:val="19"/>
              </w:rPr>
              <w:t xml:space="preserve">  1. Décrire le rôle de chaque outil utilisé</w:t>
            </w:r>
            <w:r/>
          </w:p>
          <w:p>
            <w:pPr>
              <w:pBdr/>
              <w:spacing w:after="40" w:before="20"/>
              <w:ind/>
              <w:rPr/>
            </w:pPr>
            <w:r>
              <w:rPr>
                <w:rFonts w:ascii="Calibri" w:hAnsi="Calibri" w:eastAsia="Calibri" w:cs="Calibri"/>
                <w:color w:val="333333"/>
                <w:sz w:val="19"/>
                <w:szCs w:val="19"/>
              </w:rPr>
              <w:t xml:space="preserve">  2. Interpréter les statistiques de mapping et le rapport Kraken2</w:t>
            </w:r>
            <w:r/>
          </w:p>
          <w:p>
            <w:pPr>
              <w:pBdr/>
              <w:spacing w:after="40" w:before="20"/>
              <w:ind/>
              <w:rPr/>
            </w:pPr>
            <w:r>
              <w:rPr>
                <w:rFonts w:ascii="Calibri" w:hAnsi="Calibri" w:eastAsia="Calibri" w:cs="Calibri"/>
                <w:color w:val="333333"/>
                <w:sz w:val="19"/>
                <w:szCs w:val="19"/>
              </w:rPr>
              <w:t xml:space="preserve">  3. Lire et commenter l'arbre phylogénétique</w:t>
            </w:r>
            <w:r/>
          </w:p>
          <w:p>
            <w:pPr>
              <w:pBdr/>
              <w:spacing w:after="40" w:before="20"/>
              <w:ind/>
              <w:rPr/>
            </w:pPr>
            <w:r>
              <w:rPr>
                <w:rFonts w:ascii="Calibri" w:hAnsi="Calibri" w:eastAsia="Calibri" w:cs="Calibri"/>
                <w:color w:val="333333"/>
                <w:sz w:val="19"/>
                <w:szCs w:val="19"/>
              </w:rPr>
              <w:t xml:space="preserve">  4. Identifier le clade auquel appartient la souche Borrelia analysée</w:t>
            </w:r>
            <w:r/>
          </w:p>
          <w:p>
            <w:pPr>
              <w:pBdr/>
              <w:spacing w:after="40" w:before="20"/>
              <w:ind/>
              <w:rPr/>
            </w:pPr>
            <w:r>
              <w:rPr>
                <w:rFonts w:ascii="Calibri" w:hAnsi="Calibri" w:eastAsia="Calibri" w:cs="Calibri"/>
                <w:color w:val="333333"/>
                <w:sz w:val="19"/>
                <w:szCs w:val="19"/>
              </w:rPr>
              <w:t xml:space="preserve">  5. Discuter des limites de l'analyse</w:t>
            </w:r>
            <w:r/>
          </w:p>
        </w:tc>
      </w:tr>
    </w:tbl>
    <w:sectPr>
      <w:footnotePr/>
      <w:endnotePr/>
      <w:type w:val="nextPage"/>
      <w:pgSz w:h="16838" w:orient="portrait" w:w="11906"/>
      <w:pgMar w:top="900" w:right="1000" w:bottom="9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78"/>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79"/>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0"/>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1"/>
    <w:uiPriority w:val="9"/>
    <w:pPr>
      <w:pBdr/>
      <w:spacing/>
      <w:ind/>
    </w:pPr>
    <w:rPr>
      <w:rFonts w:ascii="Arial" w:hAnsi="Arial" w:eastAsia="Arial" w:cs="Arial"/>
      <w:i/>
      <w:iCs/>
      <w:color w:val="0f4761" w:themeColor="accent1" w:themeShade="BF"/>
    </w:rPr>
  </w:style>
  <w:style w:type="character" w:styleId="840">
    <w:name w:val="Heading 5 Char"/>
    <w:basedOn w:val="834"/>
    <w:link w:val="882"/>
    <w:uiPriority w:val="9"/>
    <w:pPr>
      <w:pBdr/>
      <w:spacing/>
      <w:ind/>
    </w:pPr>
    <w:rPr>
      <w:rFonts w:ascii="Arial" w:hAnsi="Arial" w:eastAsia="Arial" w:cs="Arial"/>
      <w:color w:val="0f4761" w:themeColor="accent1" w:themeShade="BF"/>
    </w:rPr>
  </w:style>
  <w:style w:type="character" w:styleId="841">
    <w:name w:val="Heading 6 Char"/>
    <w:basedOn w:val="834"/>
    <w:link w:val="883"/>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77"/>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character" w:styleId="864">
    <w:name w:val="FollowedHyperlink"/>
    <w:basedOn w:val="834"/>
    <w:uiPriority w:val="99"/>
    <w:semiHidden/>
    <w:unhideWhenUsed/>
    <w:pPr>
      <w:pBdr/>
      <w:spacing/>
      <w:ind/>
    </w:pPr>
    <w:rPr>
      <w:color w:val="954f72" w:themeColor="followedHyperlink"/>
      <w:u w:val="single"/>
    </w:rPr>
  </w:style>
  <w:style w:type="paragraph" w:styleId="865">
    <w:name w:val="toc 1"/>
    <w:basedOn w:val="830"/>
    <w:next w:val="830"/>
    <w:uiPriority w:val="39"/>
    <w:unhideWhenUsed/>
    <w:pPr>
      <w:pBdr/>
      <w:spacing w:after="100"/>
      <w:ind/>
    </w:pPr>
  </w:style>
  <w:style w:type="paragraph" w:styleId="866">
    <w:name w:val="toc 2"/>
    <w:basedOn w:val="830"/>
    <w:next w:val="830"/>
    <w:uiPriority w:val="39"/>
    <w:unhideWhenUsed/>
    <w:pPr>
      <w:pBdr/>
      <w:spacing w:after="100"/>
      <w:ind w:left="220"/>
    </w:pPr>
  </w:style>
  <w:style w:type="paragraph" w:styleId="867">
    <w:name w:val="toc 3"/>
    <w:basedOn w:val="830"/>
    <w:next w:val="830"/>
    <w:uiPriority w:val="39"/>
    <w:unhideWhenUsed/>
    <w:pPr>
      <w:pBdr/>
      <w:spacing w:after="100"/>
      <w:ind w:left="440"/>
    </w:pPr>
  </w:style>
  <w:style w:type="paragraph" w:styleId="868">
    <w:name w:val="toc 4"/>
    <w:basedOn w:val="830"/>
    <w:next w:val="830"/>
    <w:uiPriority w:val="39"/>
    <w:unhideWhenUsed/>
    <w:pPr>
      <w:pBdr/>
      <w:spacing w:after="100"/>
      <w:ind w:left="660"/>
    </w:pPr>
  </w:style>
  <w:style w:type="paragraph" w:styleId="869">
    <w:name w:val="toc 5"/>
    <w:basedOn w:val="830"/>
    <w:next w:val="830"/>
    <w:uiPriority w:val="39"/>
    <w:unhideWhenUsed/>
    <w:pPr>
      <w:pBdr/>
      <w:spacing w:after="100"/>
      <w:ind w:left="880"/>
    </w:pPr>
  </w:style>
  <w:style w:type="paragraph" w:styleId="870">
    <w:name w:val="toc 6"/>
    <w:basedOn w:val="830"/>
    <w:next w:val="830"/>
    <w:uiPriority w:val="39"/>
    <w:unhideWhenUsed/>
    <w:pPr>
      <w:pBdr/>
      <w:spacing w:after="100"/>
      <w:ind w:left="1100"/>
    </w:pPr>
  </w:style>
  <w:style w:type="paragraph" w:styleId="871">
    <w:name w:val="toc 7"/>
    <w:basedOn w:val="830"/>
    <w:next w:val="830"/>
    <w:uiPriority w:val="39"/>
    <w:unhideWhenUsed/>
    <w:pPr>
      <w:pBdr/>
      <w:spacing w:after="100"/>
      <w:ind w:left="1320"/>
    </w:pPr>
  </w:style>
  <w:style w:type="paragraph" w:styleId="872">
    <w:name w:val="toc 8"/>
    <w:basedOn w:val="830"/>
    <w:next w:val="830"/>
    <w:uiPriority w:val="39"/>
    <w:unhideWhenUsed/>
    <w:pPr>
      <w:pBdr/>
      <w:spacing w:after="100"/>
      <w:ind w:left="1540"/>
    </w:pPr>
  </w:style>
  <w:style w:type="paragraph" w:styleId="873">
    <w:name w:val="toc 9"/>
    <w:basedOn w:val="830"/>
    <w:next w:val="830"/>
    <w:uiPriority w:val="39"/>
    <w:unhideWhenUsed/>
    <w:pPr>
      <w:pBdr/>
      <w:spacing w:after="100"/>
      <w:ind w:left="1760"/>
    </w:pPr>
  </w:style>
  <w:style w:type="character" w:styleId="874">
    <w:name w:val="Placeholder Text"/>
    <w:basedOn w:val="834"/>
    <w:uiPriority w:val="99"/>
    <w:semiHidden/>
    <w:pPr>
      <w:pBdr/>
      <w:spacing/>
      <w:ind/>
    </w:pPr>
    <w:rPr>
      <w:color w:val="666666"/>
    </w:rPr>
  </w:style>
  <w:style w:type="paragraph" w:styleId="875">
    <w:name w:val="TOC Heading"/>
    <w:uiPriority w:val="39"/>
    <w:unhideWhenUsed/>
    <w:pPr>
      <w:pBdr/>
      <w:spacing/>
      <w:ind/>
    </w:pPr>
  </w:style>
  <w:style w:type="paragraph" w:styleId="876">
    <w:name w:val="table of figures"/>
    <w:basedOn w:val="830"/>
    <w:next w:val="830"/>
    <w:uiPriority w:val="99"/>
    <w:unhideWhenUsed/>
    <w:pPr>
      <w:pBdr/>
      <w:spacing w:after="0" w:afterAutospacing="0"/>
      <w:ind/>
    </w:pPr>
  </w:style>
  <w:style w:type="paragraph" w:styleId="877">
    <w:name w:val="Title"/>
    <w:qFormat/>
    <w:pPr>
      <w:pBdr/>
      <w:spacing/>
      <w:ind/>
    </w:pPr>
    <w:rPr>
      <w:sz w:val="56"/>
      <w:szCs w:val="56"/>
    </w:rPr>
  </w:style>
  <w:style w:type="paragraph" w:styleId="878">
    <w:name w:val="Heading 1"/>
    <w:qFormat/>
    <w:pPr>
      <w:pBdr/>
      <w:spacing/>
      <w:ind/>
    </w:pPr>
    <w:rPr>
      <w:color w:val="2e74b5"/>
      <w:sz w:val="32"/>
      <w:szCs w:val="32"/>
    </w:rPr>
  </w:style>
  <w:style w:type="paragraph" w:styleId="879">
    <w:name w:val="Heading 2"/>
    <w:qFormat/>
    <w:pPr>
      <w:pBdr/>
      <w:spacing/>
      <w:ind/>
    </w:pPr>
    <w:rPr>
      <w:color w:val="2e74b5"/>
      <w:sz w:val="26"/>
      <w:szCs w:val="2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2026-08-06T22:13:34Z</dcterms:created>
  <dcterms:modified xsi:type="dcterms:W3CDTF">2026-08-17T21:20:00Z</dcterms:modified>
</cp:coreProperties>
</file>